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6F5" w:rsidRPr="001716F5" w:rsidRDefault="001716F5" w:rsidP="001716F5">
      <w:pPr>
        <w:spacing w:line="360" w:lineRule="auto"/>
        <w:jc w:val="right"/>
        <w:rPr>
          <w:rFonts w:ascii="Times New Roman" w:hAnsi="Times New Roman"/>
          <w:bCs/>
          <w:iCs/>
          <w:color w:val="000000"/>
          <w:sz w:val="28"/>
          <w:szCs w:val="28"/>
        </w:rPr>
      </w:pPr>
      <w:bookmarkStart w:id="0" w:name="DQCErrorScope7a1736a34255473daf3ba5cc990"/>
      <w:bookmarkStart w:id="1" w:name="_GoBack"/>
      <w:bookmarkEnd w:id="0"/>
      <w:bookmarkEnd w:id="1"/>
      <w:r>
        <w:rPr>
          <w:rFonts w:ascii="Times New Roman" w:hAnsi="Times New Roman"/>
          <w:bCs/>
          <w:iCs/>
          <w:color w:val="000000"/>
          <w:sz w:val="28"/>
          <w:szCs w:val="28"/>
        </w:rPr>
        <w:t>SN 10059/17</w:t>
      </w:r>
    </w:p>
    <w:p w:rsidR="00A13E2B" w:rsidRPr="006F1884" w:rsidRDefault="00A13E2B" w:rsidP="00A13E2B">
      <w:pPr>
        <w:spacing w:line="360" w:lineRule="auto"/>
        <w:jc w:val="center"/>
        <w:rPr>
          <w:rFonts w:ascii="Times New Roman" w:hAnsi="Times New Roman"/>
          <w:b/>
          <w:sz w:val="28"/>
          <w:szCs w:val="28"/>
          <w:u w:val="single"/>
        </w:rPr>
      </w:pPr>
      <w:r>
        <w:rPr>
          <w:rFonts w:ascii="Times New Roman" w:hAnsi="Times New Roman"/>
          <w:b/>
          <w:iCs/>
          <w:sz w:val="28"/>
          <w:szCs w:val="28"/>
          <w:u w:val="single"/>
        </w:rPr>
        <w:t>Usmernenia EÚ pre presadzovanie a ochranu práv dieťaťa</w:t>
      </w:r>
    </w:p>
    <w:p w:rsidR="00F15882" w:rsidRDefault="00D33221" w:rsidP="009F122B">
      <w:pPr>
        <w:pStyle w:val="Nzov"/>
      </w:pPr>
      <w:r>
        <w:t>Často kladené otázky</w:t>
      </w:r>
    </w:p>
    <w:p w:rsidR="00D33221" w:rsidRPr="00D33221" w:rsidRDefault="00D33221" w:rsidP="000F2399">
      <w:pPr>
        <w:spacing w:line="336" w:lineRule="auto"/>
      </w:pPr>
    </w:p>
    <w:p w:rsidR="00F15882" w:rsidRPr="0091204F" w:rsidRDefault="00F15882" w:rsidP="000F2399">
      <w:pPr>
        <w:pStyle w:val="Odsekzoznamu"/>
        <w:numPr>
          <w:ilvl w:val="0"/>
          <w:numId w:val="9"/>
        </w:numPr>
        <w:spacing w:before="100" w:beforeAutospacing="1" w:after="100" w:afterAutospacing="1" w:line="336" w:lineRule="auto"/>
        <w:ind w:left="357" w:hanging="357"/>
        <w:contextualSpacing/>
        <w:rPr>
          <w:b/>
        </w:rPr>
      </w:pPr>
      <w:r>
        <w:rPr>
          <w:b/>
        </w:rPr>
        <w:t>Aký je účel týchto usmernení?</w:t>
      </w:r>
    </w:p>
    <w:p w:rsidR="00A021B8" w:rsidRPr="0091204F" w:rsidRDefault="00650A93" w:rsidP="000F2399">
      <w:pPr>
        <w:tabs>
          <w:tab w:val="left" w:pos="5103"/>
        </w:tabs>
        <w:spacing w:before="100" w:beforeAutospacing="1" w:after="100" w:afterAutospacing="1" w:line="336" w:lineRule="auto"/>
        <w:jc w:val="both"/>
        <w:rPr>
          <w:rFonts w:ascii="Times New Roman" w:hAnsi="Times New Roman"/>
          <w:sz w:val="24"/>
          <w:szCs w:val="24"/>
        </w:rPr>
      </w:pPr>
      <w:r>
        <w:rPr>
          <w:rFonts w:ascii="Times New Roman" w:hAnsi="Times New Roman"/>
          <w:sz w:val="24"/>
          <w:szCs w:val="24"/>
        </w:rPr>
        <w:t>Prvý výslovný záväzok ochraňovať a presadzovať práva dieťaťa vo vnútornej a vonkajšej činnosti EÚ sa uvádza v Zmluve o Európskej únii (Lisabonská zmluva), ktorá nadobudla platnosť v roku 2009. Týmito usmerneniami Európska únia potvrdzuje svoj záväzok komplexne ochraňovať a presadzovať práva dieťaťa v rámci svojej vonkajšej politiky v súlade s ustanoveniami Dohovoru OSN o právach dieťaťa a jeho opčných protokolov a s inými relevantnými medzinárodnými normami a zmluvami.</w:t>
      </w:r>
    </w:p>
    <w:p w:rsidR="004F49F9" w:rsidRPr="0091204F" w:rsidRDefault="00212333" w:rsidP="000F2399">
      <w:pPr>
        <w:tabs>
          <w:tab w:val="left" w:pos="5103"/>
        </w:tabs>
        <w:spacing w:before="100" w:beforeAutospacing="1" w:after="100" w:afterAutospacing="1" w:line="336" w:lineRule="auto"/>
        <w:jc w:val="both"/>
        <w:rPr>
          <w:rFonts w:ascii="Times New Roman" w:hAnsi="Times New Roman"/>
          <w:sz w:val="24"/>
          <w:szCs w:val="24"/>
        </w:rPr>
      </w:pPr>
      <w:r>
        <w:rPr>
          <w:rFonts w:ascii="Times New Roman" w:hAnsi="Times New Roman"/>
          <w:sz w:val="24"/>
          <w:szCs w:val="24"/>
        </w:rPr>
        <w:t>EÚ v plnej miere uznáva deti ako držiteľov práv a to, že štáty sú hlavnými nositeľmi povinností, t. j. štáty sú v prevažnej miere zodpovedné za uplatňovanie práv dieťaťa. V týchto usmerneniach sa úradníkom inštitúcií EÚ a členských štátov EÚ poskytuje komplexné usmernenie identifikovaním spôsobov a prostriedkov, ako účinne pracovať na presadzovaní a ochrane práv všetkých detí v partnerských krajinách a kroky, ktoré EÚ podnikne s využitím všetkých nástrojov, ktoré má k dispozícii.</w:t>
      </w:r>
    </w:p>
    <w:p w:rsidR="005F05C3" w:rsidRPr="0091204F" w:rsidRDefault="005F05C3" w:rsidP="000F2399">
      <w:pPr>
        <w:numPr>
          <w:ilvl w:val="0"/>
          <w:numId w:val="16"/>
        </w:numPr>
        <w:tabs>
          <w:tab w:val="left" w:pos="426"/>
        </w:tabs>
        <w:spacing w:before="100" w:beforeAutospacing="1" w:after="100" w:afterAutospacing="1" w:line="336" w:lineRule="auto"/>
        <w:ind w:hanging="720"/>
        <w:jc w:val="both"/>
        <w:rPr>
          <w:rFonts w:ascii="Times New Roman" w:hAnsi="Times New Roman"/>
          <w:b/>
          <w:sz w:val="24"/>
          <w:szCs w:val="24"/>
        </w:rPr>
      </w:pPr>
      <w:r>
        <w:rPr>
          <w:rFonts w:ascii="Times New Roman" w:hAnsi="Times New Roman"/>
          <w:b/>
          <w:sz w:val="24"/>
          <w:szCs w:val="24"/>
        </w:rPr>
        <w:t>Na čo tieto usmernenia slúžia?</w:t>
      </w:r>
    </w:p>
    <w:p w:rsidR="003C37E4" w:rsidRPr="0091204F" w:rsidRDefault="002B0CF3" w:rsidP="000F2399">
      <w:pPr>
        <w:pStyle w:val="Odsekzoznamu"/>
        <w:spacing w:before="100" w:beforeAutospacing="1" w:after="100" w:afterAutospacing="1" w:line="336" w:lineRule="auto"/>
        <w:ind w:left="0"/>
        <w:contextualSpacing/>
        <w:jc w:val="both"/>
      </w:pPr>
      <w:r>
        <w:t xml:space="preserve">Usmernenia sa prijali na ministerskej úrovni, čo je jasným signálom toho, že otázky, ktoré sú v nich zahrnuté, predstavujú pre EÚ a jej členské štáty prioritu. </w:t>
      </w:r>
      <w:r>
        <w:rPr>
          <w:color w:val="000000"/>
        </w:rPr>
        <w:t>Usmernenia sú určené všetkým úradníkom inštitúcií EÚ a členských štátov EÚ, ktorí pracujú v oblasti vonkajších vzťahov s vplyvom mimo EÚ, t. j. v oblasti zahraničných, bezpečnostných, migračných, obchodných a iných politík, či už v Bruseli, v delegáciách EÚ alebo na veľvyslanectvách členských štátov.</w:t>
      </w:r>
    </w:p>
    <w:p w:rsidR="005F05C3" w:rsidRPr="0091204F" w:rsidRDefault="005F05C3" w:rsidP="000F2399">
      <w:pPr>
        <w:pStyle w:val="Odsekzoznamu"/>
        <w:spacing w:before="100" w:beforeAutospacing="1" w:after="100" w:afterAutospacing="1" w:line="336" w:lineRule="auto"/>
        <w:ind w:left="0"/>
        <w:contextualSpacing/>
      </w:pPr>
    </w:p>
    <w:p w:rsidR="00F15882" w:rsidRPr="0091204F" w:rsidRDefault="00F15882" w:rsidP="000F2399">
      <w:pPr>
        <w:pStyle w:val="Odsekzoznamu"/>
        <w:numPr>
          <w:ilvl w:val="0"/>
          <w:numId w:val="9"/>
        </w:numPr>
        <w:spacing w:before="100" w:beforeAutospacing="1" w:after="100" w:afterAutospacing="1" w:line="336" w:lineRule="auto"/>
        <w:ind w:left="357" w:hanging="357"/>
        <w:contextualSpacing/>
        <w:rPr>
          <w:b/>
        </w:rPr>
      </w:pPr>
      <w:r>
        <w:rPr>
          <w:b/>
        </w:rPr>
        <w:t>Prečo sa usmernenia aktualizujú teraz?</w:t>
      </w:r>
    </w:p>
    <w:p w:rsidR="003C37E4" w:rsidRPr="000F2399" w:rsidRDefault="005F05C3" w:rsidP="000F2399">
      <w:pPr>
        <w:tabs>
          <w:tab w:val="left" w:pos="5103"/>
        </w:tabs>
        <w:spacing w:before="100" w:beforeAutospacing="1" w:after="100" w:afterAutospacing="1" w:line="336" w:lineRule="auto"/>
        <w:jc w:val="both"/>
        <w:rPr>
          <w:rFonts w:asciiTheme="majorBidi" w:hAnsiTheme="majorBidi" w:cstheme="majorBidi"/>
          <w:color w:val="000000"/>
          <w:sz w:val="24"/>
          <w:szCs w:val="24"/>
        </w:rPr>
      </w:pPr>
      <w:r>
        <w:rPr>
          <w:rFonts w:ascii="Times New Roman" w:hAnsi="Times New Roman"/>
          <w:color w:val="000000"/>
          <w:sz w:val="24"/>
          <w:szCs w:val="24"/>
        </w:rPr>
        <w:t xml:space="preserve">Od prijatia </w:t>
      </w:r>
      <w:r w:rsidRPr="000F2399">
        <w:rPr>
          <w:rFonts w:asciiTheme="majorBidi" w:hAnsiTheme="majorBidi" w:cstheme="majorBidi"/>
          <w:color w:val="000000"/>
          <w:sz w:val="24"/>
          <w:szCs w:val="24"/>
        </w:rPr>
        <w:t>prvých usmernení pre presadzovanie a ochranu práv dieťaťa v roku 2007 došlo vo svete, ako aj vo vývoji politiky EÚ v oblasti detí v rámci vonkajšej činnosti EÚ k mnohým zmenám.</w:t>
      </w:r>
    </w:p>
    <w:p w:rsidR="003C37E4" w:rsidRPr="000F2399" w:rsidRDefault="003C37E4" w:rsidP="00FD60B4">
      <w:pPr>
        <w:spacing w:before="100" w:beforeAutospacing="1" w:after="100" w:afterAutospacing="1" w:line="360" w:lineRule="auto"/>
        <w:jc w:val="both"/>
        <w:rPr>
          <w:rFonts w:asciiTheme="majorBidi" w:hAnsiTheme="majorBidi" w:cstheme="majorBidi"/>
          <w:color w:val="000000"/>
          <w:sz w:val="24"/>
          <w:szCs w:val="24"/>
        </w:rPr>
      </w:pPr>
      <w:r w:rsidRPr="000F2399">
        <w:rPr>
          <w:rFonts w:asciiTheme="majorBidi" w:hAnsiTheme="majorBidi" w:cstheme="majorBidi"/>
          <w:sz w:val="24"/>
          <w:szCs w:val="24"/>
        </w:rPr>
        <w:lastRenderedPageBreak/>
        <w:t>Z vonkajšieho hľadiska prijatie programu trvalo udržateľného rozvoja do roku 2030</w:t>
      </w:r>
      <w:r w:rsidR="00FD60B4" w:rsidRPr="000F2399">
        <w:rPr>
          <w:rStyle w:val="Odkaznapoznmkupodiarou"/>
          <w:rFonts w:asciiTheme="majorBidi" w:hAnsiTheme="majorBidi" w:cstheme="majorBidi"/>
          <w:color w:val="000000"/>
          <w:sz w:val="24"/>
          <w:szCs w:val="24"/>
        </w:rPr>
        <w:footnoteReference w:id="1"/>
      </w:r>
      <w:r w:rsidRPr="000F2399">
        <w:rPr>
          <w:rFonts w:asciiTheme="majorBidi" w:hAnsiTheme="majorBidi" w:cstheme="majorBidi"/>
          <w:sz w:val="24"/>
          <w:szCs w:val="24"/>
        </w:rPr>
        <w:t xml:space="preserve"> znamená, že sa všetky krajiny zaviazali vytvoriť deťom priaznivé prostredie na plné uplatňovanie ich práv a schopností (bod 25).</w:t>
      </w:r>
      <w:r w:rsidRPr="000F2399">
        <w:rPr>
          <w:rFonts w:asciiTheme="majorBidi" w:hAnsiTheme="majorBidi" w:cstheme="majorBidi"/>
          <w:color w:val="000000"/>
          <w:sz w:val="24"/>
          <w:szCs w:val="24"/>
        </w:rPr>
        <w:t xml:space="preserve"> Jednou z kľúčových zásad, z ktorých vychádza program 2030, je „na nikoho nezabudnúť“ (muža, ženu alebo dieťa), a preto musia všetky krajiny zintenzívniť úsilie zamerané na pomoc marginalizovaným ľuďom. Z tohto dôvodu bolo potrebné revidovať usmernenia, aby sa lepšie poukázalo na potrebu ochraňovať všetky práva všetkých detí, najmä tých, ktoré sú najviac marginalizované.</w:t>
      </w:r>
    </w:p>
    <w:p w:rsidR="003C37E4" w:rsidRPr="000F2399" w:rsidRDefault="003C37E4" w:rsidP="00FD60B4">
      <w:pPr>
        <w:tabs>
          <w:tab w:val="left" w:pos="5103"/>
        </w:tabs>
        <w:spacing w:before="100" w:beforeAutospacing="1" w:after="100" w:afterAutospacing="1" w:line="360" w:lineRule="auto"/>
        <w:jc w:val="both"/>
        <w:rPr>
          <w:rFonts w:asciiTheme="majorBidi" w:hAnsiTheme="majorBidi" w:cstheme="majorBidi"/>
          <w:sz w:val="24"/>
          <w:szCs w:val="24"/>
        </w:rPr>
      </w:pPr>
      <w:r w:rsidRPr="000F2399">
        <w:rPr>
          <w:rFonts w:asciiTheme="majorBidi" w:hAnsiTheme="majorBidi" w:cstheme="majorBidi"/>
          <w:sz w:val="24"/>
        </w:rPr>
        <w:t>Z vnútorného hľadiska sa EÚ v strategickom rámci EÚ pre ľudské práva a demokraciu (2012)</w:t>
      </w:r>
      <w:r w:rsidR="00FD60B4" w:rsidRPr="000F2399">
        <w:rPr>
          <w:rStyle w:val="Odkaznapoznmkupodiarou"/>
          <w:rFonts w:asciiTheme="majorBidi" w:hAnsiTheme="majorBidi" w:cstheme="majorBidi"/>
          <w:sz w:val="24"/>
          <w:szCs w:val="24"/>
        </w:rPr>
        <w:footnoteReference w:id="2"/>
      </w:r>
      <w:r w:rsidRPr="000F2399">
        <w:rPr>
          <w:rFonts w:asciiTheme="majorBidi" w:hAnsiTheme="majorBidi" w:cstheme="majorBidi"/>
          <w:sz w:val="24"/>
        </w:rPr>
        <w:t xml:space="preserve"> a v záveroch Rady o prístupe k rozvojovej spolupráci založenom na právach (máj 2014)</w:t>
      </w:r>
      <w:r w:rsidR="00FD60B4" w:rsidRPr="000F2399">
        <w:rPr>
          <w:rStyle w:val="Odkaznapoznmkupodiarou"/>
          <w:rFonts w:asciiTheme="majorBidi" w:hAnsiTheme="majorBidi" w:cstheme="majorBidi"/>
          <w:sz w:val="24"/>
        </w:rPr>
        <w:footnoteReference w:id="3"/>
      </w:r>
      <w:r w:rsidRPr="000F2399">
        <w:rPr>
          <w:rFonts w:asciiTheme="majorBidi" w:hAnsiTheme="majorBidi" w:cstheme="majorBidi"/>
          <w:sz w:val="24"/>
        </w:rPr>
        <w:t xml:space="preserve"> zaviazala napredovať v rámci svojej činnosti smerom k prístupu založenému na právach. V nedávnej globálnej stratégii pre zahraničnú a bezpečnostnú politiku </w:t>
      </w:r>
      <w:r w:rsidR="00FD60B4" w:rsidRPr="000F2399">
        <w:rPr>
          <w:rStyle w:val="Odkaznapoznmkupodiarou"/>
          <w:rFonts w:asciiTheme="majorBidi" w:hAnsiTheme="majorBidi" w:cstheme="majorBidi"/>
          <w:sz w:val="24"/>
          <w:szCs w:val="24"/>
        </w:rPr>
        <w:footnoteReference w:id="4"/>
      </w:r>
      <w:r w:rsidRPr="000F2399">
        <w:rPr>
          <w:rFonts w:asciiTheme="majorBidi" w:hAnsiTheme="majorBidi" w:cstheme="majorBidi"/>
          <w:sz w:val="24"/>
        </w:rPr>
        <w:t xml:space="preserve"> sa potvrdzuje záväzok začleňovať ľudské práva do všetkých oblastí politiky, podobne ako aj v návrhu Európskej komisie týkajúcom sa nového Európskeho konsenzu o rozvoji</w:t>
      </w:r>
      <w:r w:rsidR="00FD60B4" w:rsidRPr="000F2399">
        <w:rPr>
          <w:rStyle w:val="Odkaznapoznmkupodiarou"/>
          <w:rFonts w:asciiTheme="majorBidi" w:hAnsiTheme="majorBidi" w:cstheme="majorBidi"/>
          <w:sz w:val="24"/>
          <w:szCs w:val="24"/>
          <w:bdr w:val="none" w:sz="0" w:space="0" w:color="auto" w:frame="1"/>
        </w:rPr>
        <w:footnoteReference w:id="5"/>
      </w:r>
      <w:r w:rsidRPr="000F2399">
        <w:rPr>
          <w:rFonts w:asciiTheme="majorBidi" w:hAnsiTheme="majorBidi" w:cstheme="majorBidi"/>
          <w:sz w:val="24"/>
        </w:rPr>
        <w:t>, ktorým sa politika EÚ v oblasti rozvojovej spolupráce zosúladí s programom 2030.</w:t>
      </w:r>
    </w:p>
    <w:p w:rsidR="006A7F7C" w:rsidRPr="0091204F" w:rsidRDefault="006A7F7C" w:rsidP="006A7F7C">
      <w:pPr>
        <w:spacing w:before="100" w:beforeAutospacing="1" w:after="100" w:afterAutospacing="1" w:line="360" w:lineRule="auto"/>
        <w:jc w:val="both"/>
        <w:rPr>
          <w:rFonts w:ascii="Times New Roman" w:hAnsi="Times New Roman"/>
          <w:sz w:val="24"/>
          <w:szCs w:val="24"/>
        </w:rPr>
      </w:pPr>
      <w:r w:rsidRPr="000F2399">
        <w:rPr>
          <w:rFonts w:asciiTheme="majorBidi" w:hAnsiTheme="majorBidi" w:cstheme="majorBidi"/>
          <w:sz w:val="24"/>
          <w:szCs w:val="24"/>
        </w:rPr>
        <w:t>Revízia usmernení bola</w:t>
      </w:r>
      <w:r>
        <w:rPr>
          <w:rFonts w:ascii="Times New Roman" w:hAnsi="Times New Roman"/>
          <w:sz w:val="24"/>
          <w:szCs w:val="24"/>
        </w:rPr>
        <w:t xml:space="preserve"> potrebná preto, aby sa úradníkom inštitúcií EÚ a členských štátov EÚ poskytli konkrétne usmernenia k tomu, ako by pri presadzovaní a ochrane práv dieťaťa mali zohľadňovať nový rámec politiky.</w:t>
      </w:r>
    </w:p>
    <w:p w:rsidR="00F15882" w:rsidRDefault="00F15882" w:rsidP="00825803">
      <w:pPr>
        <w:pStyle w:val="Odsekzoznamu"/>
        <w:numPr>
          <w:ilvl w:val="0"/>
          <w:numId w:val="9"/>
        </w:numPr>
        <w:spacing w:before="100" w:beforeAutospacing="1" w:after="100" w:afterAutospacing="1" w:line="360" w:lineRule="auto"/>
        <w:ind w:left="357" w:hanging="357"/>
        <w:contextualSpacing/>
        <w:rPr>
          <w:b/>
        </w:rPr>
      </w:pPr>
      <w:r>
        <w:rPr>
          <w:b/>
        </w:rPr>
        <w:t>Ako sa používajú/vykonávajú usmernenia?</w:t>
      </w:r>
    </w:p>
    <w:p w:rsidR="0091204F" w:rsidRPr="0091204F" w:rsidRDefault="0091204F" w:rsidP="0091204F">
      <w:pPr>
        <w:pStyle w:val="Odsekzoznamu"/>
        <w:spacing w:before="100" w:beforeAutospacing="1" w:after="100" w:afterAutospacing="1" w:line="360" w:lineRule="auto"/>
        <w:ind w:left="357"/>
        <w:contextualSpacing/>
        <w:rPr>
          <w:b/>
        </w:rPr>
      </w:pPr>
    </w:p>
    <w:p w:rsidR="0066688E" w:rsidRPr="0091204F" w:rsidRDefault="0066688E" w:rsidP="0066688E">
      <w:pPr>
        <w:pStyle w:val="Odsekzoznamu"/>
        <w:spacing w:before="100" w:beforeAutospacing="1" w:after="100" w:afterAutospacing="1" w:line="360" w:lineRule="auto"/>
        <w:ind w:left="0"/>
        <w:contextualSpacing/>
        <w:jc w:val="both"/>
      </w:pPr>
      <w:r>
        <w:t xml:space="preserve">V usmerneniach sa stanovujú opatrenia, ktoré by úradníci EÚ mali prijať. Uvádzajú sa v nich zásady, o ktoré sa opiera činnosť EÚ, priority angažovanosti EÚ a nástroje, ktoré možno použiť. V oddieli Operatívne usmernenia sa navrhujú spôsoby zefektívnenia práce na presadzovaní a ochrane práv dieťaťa v partnerských krajinách. Tento oddiel je rozdelený do </w:t>
      </w:r>
      <w:r>
        <w:lastRenderedPageBreak/>
        <w:t>dvoch častí pre každý typ opatrení: opatrenia, ktoré by mala vykonať samotná EÚ a opatrenia, ktoré by na podnet EÚ mali vykonať partnerské krajiny a relevantní aktéri.</w:t>
      </w:r>
    </w:p>
    <w:p w:rsidR="00BB518C" w:rsidRDefault="00BB518C" w:rsidP="00825803">
      <w:pPr>
        <w:pStyle w:val="Odsekzoznamu"/>
        <w:spacing w:before="100" w:beforeAutospacing="1" w:after="100" w:afterAutospacing="1" w:line="360" w:lineRule="auto"/>
        <w:ind w:left="0"/>
        <w:contextualSpacing/>
      </w:pPr>
    </w:p>
    <w:p w:rsidR="005C4B31" w:rsidRPr="0091204F" w:rsidRDefault="005C4B31" w:rsidP="00825803">
      <w:pPr>
        <w:pStyle w:val="Odsekzoznamu"/>
        <w:spacing w:before="100" w:beforeAutospacing="1" w:after="100" w:afterAutospacing="1" w:line="360" w:lineRule="auto"/>
        <w:ind w:left="0"/>
        <w:contextualSpacing/>
      </w:pPr>
    </w:p>
    <w:p w:rsidR="00F15882" w:rsidRDefault="00F15882" w:rsidP="00825803">
      <w:pPr>
        <w:pStyle w:val="Odsekzoznamu"/>
        <w:numPr>
          <w:ilvl w:val="0"/>
          <w:numId w:val="9"/>
        </w:numPr>
        <w:spacing w:before="100" w:beforeAutospacing="1" w:after="100" w:afterAutospacing="1" w:line="360" w:lineRule="auto"/>
        <w:ind w:left="357" w:hanging="357"/>
        <w:contextualSpacing/>
        <w:rPr>
          <w:b/>
        </w:rPr>
      </w:pPr>
      <w:r>
        <w:rPr>
          <w:b/>
        </w:rPr>
        <w:t>Aký je rozdiel medzi týmito a predchádzajúcimi usmerneniami?</w:t>
      </w:r>
    </w:p>
    <w:p w:rsidR="0091204F" w:rsidRPr="0091204F" w:rsidRDefault="0091204F" w:rsidP="0091204F">
      <w:pPr>
        <w:pStyle w:val="Odsekzoznamu"/>
        <w:spacing w:before="100" w:beforeAutospacing="1" w:after="100" w:afterAutospacing="1" w:line="360" w:lineRule="auto"/>
        <w:ind w:left="357"/>
        <w:contextualSpacing/>
        <w:rPr>
          <w:b/>
        </w:rPr>
      </w:pPr>
    </w:p>
    <w:p w:rsidR="00CE41A9" w:rsidRPr="0091204F" w:rsidRDefault="00CE41A9" w:rsidP="00CE41A9">
      <w:pPr>
        <w:pStyle w:val="Odsekzoznamu"/>
        <w:spacing w:before="100" w:beforeAutospacing="1" w:after="100" w:afterAutospacing="1" w:line="360" w:lineRule="auto"/>
        <w:ind w:left="0"/>
        <w:contextualSpacing/>
        <w:jc w:val="both"/>
      </w:pPr>
      <w:r>
        <w:t>V oboch súboroch usmernení sa zdôrazňuje dôležitosť prístupu zameraného na posilnenie systémov, ktorý vychádza zo Všeobecných vykonávacích opatrení Dohovoru OSN o právach dieťaťa, ako sa uvádza vo všeobecnej poznámke č. 5 (pozri ďalej). Revidované usmernenia sú však podrobnejšie, aby mohli poskytnúť konkrétnejšie usmernenie o spôsobe uplatňovania tohto prístupu. Podrobnejším spôsobom sa v nich tiež opisuje význam pojmu prístup založený na právach a jeho uplatňovanie v praxi. Celkovo sú nové usmernenia aktuálnejšie, cielenejšie a jasnejšie, pokiaľ ide o spôsob, akým by úradníci EÚ mali prispieť k presadzovaniu a ochrane práv dieťaťa.</w:t>
      </w:r>
    </w:p>
    <w:p w:rsidR="00CE41A9" w:rsidRPr="0091204F" w:rsidRDefault="00CE41A9" w:rsidP="00CE41A9">
      <w:pPr>
        <w:pStyle w:val="Odsekzoznamu"/>
        <w:spacing w:before="100" w:beforeAutospacing="1" w:after="100" w:afterAutospacing="1" w:line="360" w:lineRule="auto"/>
        <w:ind w:left="0"/>
        <w:contextualSpacing/>
        <w:jc w:val="both"/>
      </w:pPr>
    </w:p>
    <w:p w:rsidR="0091204F" w:rsidRPr="0091204F" w:rsidRDefault="00F15882" w:rsidP="00321305">
      <w:pPr>
        <w:pStyle w:val="Odsekzoznamu"/>
        <w:numPr>
          <w:ilvl w:val="0"/>
          <w:numId w:val="9"/>
        </w:numPr>
        <w:spacing w:before="100" w:beforeAutospacing="1" w:after="100" w:afterAutospacing="1" w:line="360" w:lineRule="auto"/>
        <w:ind w:left="357" w:hanging="357"/>
        <w:contextualSpacing/>
        <w:jc w:val="both"/>
      </w:pPr>
      <w:r>
        <w:rPr>
          <w:b/>
        </w:rPr>
        <w:t>Čo je prístup založený na právach?</w:t>
      </w:r>
    </w:p>
    <w:p w:rsidR="0091204F" w:rsidRPr="0091204F" w:rsidRDefault="0091204F" w:rsidP="0091204F">
      <w:pPr>
        <w:pStyle w:val="Odsekzoznamu"/>
        <w:spacing w:before="100" w:beforeAutospacing="1" w:after="100" w:afterAutospacing="1" w:line="360" w:lineRule="auto"/>
        <w:ind w:left="357"/>
        <w:contextualSpacing/>
        <w:jc w:val="both"/>
      </w:pPr>
    </w:p>
    <w:p w:rsidR="00321305" w:rsidRPr="0091204F" w:rsidRDefault="00321305" w:rsidP="00FD60B4">
      <w:pPr>
        <w:pStyle w:val="Odsekzoznamu"/>
        <w:spacing w:before="100" w:beforeAutospacing="1" w:after="100" w:afterAutospacing="1" w:line="360" w:lineRule="auto"/>
        <w:ind w:left="0"/>
        <w:contextualSpacing/>
        <w:jc w:val="both"/>
      </w:pPr>
      <w:r>
        <w:t>EÚ sa v strategickom rámci EÚ pre ľudské práva a demokraciu</w:t>
      </w:r>
      <w:r w:rsidR="00FD60B4">
        <w:rPr>
          <w:rStyle w:val="Odkaznapoznmkupodiarou"/>
        </w:rPr>
        <w:footnoteReference w:id="6"/>
      </w:r>
      <w:r>
        <w:t>, ktorý sa prijal v júni 2012, zaviazala napredovať smerom k prístupu založenom na právach, v ktorom budú zahrnuté všetky ľudské práva. V súvislosti s deťmi to znamená, že EÚ musí do navrhovania, vykonávania, monitorovania a hodnotenia všetkých svojich politík a programov začleniť všetky normy a zásady týkajúce sa práv dieťaťa.</w:t>
      </w:r>
    </w:p>
    <w:p w:rsidR="00321305" w:rsidRPr="0091204F" w:rsidRDefault="00321305" w:rsidP="00321305">
      <w:p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Prístup založený na právach vychádza z univerzálnosti a nedeliteľnosti ľudských práv (t. j. všetci majú rovnaké práva a nikto vám tieto práva nemôže vziať), zo zásad účasti, nediskriminácie, transparentnosti a zodpovednosti a zo snahy nájsť dlhodobé riešenia prvotných príčin porušovania týchto práv. Prijatie prístupu založeného na právach znamená, že sa predovšetkým usilujeme pomôcť najviac marginalizovaným skupinám.</w:t>
      </w:r>
    </w:p>
    <w:p w:rsidR="00321305" w:rsidRPr="000F2399" w:rsidRDefault="00321305" w:rsidP="00321305">
      <w:pPr>
        <w:spacing w:before="100" w:beforeAutospacing="1" w:after="100" w:afterAutospacing="1" w:line="360" w:lineRule="auto"/>
        <w:jc w:val="both"/>
        <w:rPr>
          <w:rFonts w:asciiTheme="majorBidi" w:hAnsiTheme="majorBidi" w:cstheme="majorBidi"/>
          <w:sz w:val="24"/>
          <w:szCs w:val="24"/>
        </w:rPr>
      </w:pPr>
      <w:r>
        <w:rPr>
          <w:rFonts w:ascii="Times New Roman" w:hAnsi="Times New Roman"/>
          <w:sz w:val="24"/>
          <w:szCs w:val="24"/>
        </w:rPr>
        <w:t xml:space="preserve">V prípade práv dieťaťa existujú tiež štyri veľmi osobitné práva, tzv. základné zásady UNCRC (najlepšie záujmy dieťaťa, nediskriminácia, právo byť vypočutý a právo na život, prežitie a vývoj), ktoré usmerňujú výklad a vykonávanie všetkých ostatných článkov dohovoru. Mali by </w:t>
      </w:r>
      <w:r>
        <w:rPr>
          <w:rFonts w:ascii="Times New Roman" w:hAnsi="Times New Roman"/>
          <w:sz w:val="24"/>
          <w:szCs w:val="24"/>
        </w:rPr>
        <w:lastRenderedPageBreak/>
        <w:t xml:space="preserve">sa preto </w:t>
      </w:r>
      <w:r w:rsidRPr="000F2399">
        <w:rPr>
          <w:rFonts w:asciiTheme="majorBidi" w:hAnsiTheme="majorBidi" w:cstheme="majorBidi"/>
          <w:sz w:val="24"/>
          <w:szCs w:val="24"/>
        </w:rPr>
        <w:t>zohľadňovať pri navrhovaní a vykonávaní politiky a opatrení EÚ v oblasti práv dieťaťa.</w:t>
      </w:r>
    </w:p>
    <w:p w:rsidR="00321305" w:rsidRPr="000F2399" w:rsidRDefault="00321305" w:rsidP="00FD60B4">
      <w:pPr>
        <w:spacing w:before="100" w:beforeAutospacing="1" w:after="100" w:afterAutospacing="1" w:line="360" w:lineRule="auto"/>
        <w:jc w:val="both"/>
        <w:rPr>
          <w:rFonts w:asciiTheme="majorBidi" w:hAnsiTheme="majorBidi" w:cstheme="majorBidi"/>
          <w:sz w:val="24"/>
          <w:szCs w:val="24"/>
        </w:rPr>
      </w:pPr>
      <w:r w:rsidRPr="000F2399">
        <w:rPr>
          <w:rFonts w:asciiTheme="majorBidi" w:hAnsiTheme="majorBidi" w:cstheme="majorBidi"/>
          <w:sz w:val="24"/>
          <w:szCs w:val="24"/>
        </w:rPr>
        <w:t>Viac informácií nájdete v pracovnom dokumente útvarov Komisie o prístupe založenom na právach, ktorý obsahuje „súbor nástrojov“ na vykonávanie</w:t>
      </w:r>
      <w:r w:rsidR="00FD60B4" w:rsidRPr="000F2399">
        <w:rPr>
          <w:rStyle w:val="Odkaznapoznmkupodiarou"/>
          <w:rFonts w:asciiTheme="majorBidi" w:hAnsiTheme="majorBidi" w:cstheme="majorBidi"/>
          <w:sz w:val="24"/>
          <w:szCs w:val="24"/>
        </w:rPr>
        <w:footnoteReference w:id="7"/>
      </w:r>
      <w:r w:rsidRPr="000F2399">
        <w:rPr>
          <w:rFonts w:asciiTheme="majorBidi" w:hAnsiTheme="majorBidi" w:cstheme="majorBidi"/>
          <w:sz w:val="24"/>
          <w:szCs w:val="24"/>
        </w:rPr>
        <w:t>.</w:t>
      </w:r>
    </w:p>
    <w:p w:rsidR="002142CE" w:rsidRPr="000F2399" w:rsidRDefault="00945E56" w:rsidP="002142CE">
      <w:pPr>
        <w:pStyle w:val="Odsekzoznamu"/>
        <w:numPr>
          <w:ilvl w:val="0"/>
          <w:numId w:val="16"/>
        </w:numPr>
        <w:spacing w:before="100" w:beforeAutospacing="1" w:after="100" w:afterAutospacing="1" w:line="360" w:lineRule="auto"/>
        <w:ind w:left="426" w:hanging="568"/>
        <w:jc w:val="both"/>
        <w:rPr>
          <w:rFonts w:asciiTheme="majorBidi" w:hAnsiTheme="majorBidi" w:cstheme="majorBidi"/>
          <w:b/>
        </w:rPr>
      </w:pPr>
      <w:r w:rsidRPr="000F2399">
        <w:rPr>
          <w:rFonts w:asciiTheme="majorBidi" w:hAnsiTheme="majorBidi" w:cstheme="majorBidi"/>
          <w:b/>
        </w:rPr>
        <w:t>Čo chápeme pod zohľadňovaním práv dieťaťa?</w:t>
      </w:r>
    </w:p>
    <w:p w:rsidR="002142CE" w:rsidRPr="0091204F" w:rsidRDefault="00FA37EA" w:rsidP="002142CE">
      <w:pPr>
        <w:pStyle w:val="Odsekzoznamu"/>
        <w:spacing w:before="100" w:beforeAutospacing="1" w:after="100" w:afterAutospacing="1" w:line="360" w:lineRule="auto"/>
        <w:ind w:left="-142"/>
        <w:jc w:val="both"/>
        <w:rPr>
          <w:b/>
        </w:rPr>
      </w:pPr>
      <w:r w:rsidRPr="000F2399">
        <w:rPr>
          <w:rFonts w:asciiTheme="majorBidi" w:hAnsiTheme="majorBidi" w:cstheme="majorBidi"/>
        </w:rPr>
        <w:t>Zohľadňovanie spočíva v systematickom začleňovaní práv dieťaťa</w:t>
      </w:r>
      <w:r>
        <w:t xml:space="preserve"> do všetkých politík, činností a programov EÚ. Zohľadňovanie práv dieťaťa znamená, že bez ohľadu na prejednávanú otázku musia úradníci inštitúcií EÚ a členských štátov EÚ zabezpečiť, aby sa prihliadalo na hľadisko dieťaťa (t. j. prínos pre dieťa). Znamená to tiež, že úradníci EÚ a členských štátov EÚ by sa mali usilovať o to, aby žiadna politika ani opatrenie v akomkoľvek odvetví (napr. v oblasti obchodu, energetiky, migrácie atď.) neoslabovala práva dieťaťa, a aby v ideálnom prípade podporovala ich uplatňovanie.</w:t>
      </w:r>
    </w:p>
    <w:p w:rsidR="00FA37EA" w:rsidRPr="0091204F" w:rsidRDefault="00FA37EA" w:rsidP="002142CE">
      <w:pPr>
        <w:pStyle w:val="Odsekzoznamu"/>
        <w:spacing w:before="100" w:beforeAutospacing="1" w:after="100" w:afterAutospacing="1" w:line="360" w:lineRule="auto"/>
        <w:ind w:left="-142"/>
        <w:jc w:val="both"/>
        <w:rPr>
          <w:b/>
        </w:rPr>
      </w:pPr>
      <w:r>
        <w:t>Zohľadňovaním práv dieťaťa sa preto rozširuje ich začleňovanie nad rámec tradičných odvetví zameraných na deti, ako je výživa, zdravie a vzdelávanie, aj na iné odvetvia, ako je energetika, poľnohospodárstvo, doprava alebo životné prostredie. Je veľmi dôležité uvedomiť si, že politiky alebo programy, ktoré sú vo vzťahu k deťom neutrálne, neexistujú alebo je ich len veľmi málo: väčšina má na deti priamy alebo nepriamy, pozitívny či negatívny vplyv. Okrem toho sú mnohé odvetvia veľmi často vzájomne prepojené.</w:t>
      </w:r>
    </w:p>
    <w:p w:rsidR="00F15882" w:rsidRPr="0091204F" w:rsidRDefault="00F15882" w:rsidP="00825803">
      <w:pPr>
        <w:pStyle w:val="Odsekzoznamu"/>
        <w:numPr>
          <w:ilvl w:val="0"/>
          <w:numId w:val="9"/>
        </w:numPr>
        <w:spacing w:before="100" w:beforeAutospacing="1" w:after="100" w:afterAutospacing="1" w:line="360" w:lineRule="auto"/>
        <w:ind w:left="357" w:hanging="357"/>
        <w:contextualSpacing/>
        <w:rPr>
          <w:b/>
        </w:rPr>
      </w:pPr>
      <w:r>
        <w:rPr>
          <w:b/>
        </w:rPr>
        <w:t>Čo je prístup zameraný na posilnenie systémov a prečo sa v usmerneniach zvolil tento prístup?</w:t>
      </w:r>
    </w:p>
    <w:p w:rsidR="00523B8D" w:rsidRPr="0091204F" w:rsidRDefault="00523B8D" w:rsidP="00825803">
      <w:pPr>
        <w:pStyle w:val="Odsekzoznamu"/>
        <w:spacing w:before="100" w:beforeAutospacing="1" w:after="100" w:afterAutospacing="1" w:line="360" w:lineRule="auto"/>
        <w:ind w:left="0"/>
        <w:contextualSpacing/>
        <w:rPr>
          <w:b/>
        </w:rPr>
      </w:pPr>
    </w:p>
    <w:p w:rsidR="00761879" w:rsidRPr="000F2399" w:rsidRDefault="003575F8" w:rsidP="00761879">
      <w:pPr>
        <w:pStyle w:val="Odsekzoznamu"/>
        <w:autoSpaceDE w:val="0"/>
        <w:autoSpaceDN w:val="0"/>
        <w:spacing w:before="100" w:beforeAutospacing="1" w:after="100" w:afterAutospacing="1" w:line="360" w:lineRule="auto"/>
        <w:ind w:left="0"/>
        <w:jc w:val="both"/>
        <w:rPr>
          <w:rFonts w:asciiTheme="majorBidi" w:hAnsiTheme="majorBidi" w:cstheme="majorBidi"/>
        </w:rPr>
      </w:pPr>
      <w:r>
        <w:t xml:space="preserve">Štát, ktorý ratifikuje Dohovor o právach dieťaťa (UNCRC) sa podľa medzinárodného práva zaväzuje vykonávať všetky ustanovenia tohto dohovoru. Znamená to, že štáty majú povinnosť chrániť práva všetkých detí prostredníctvom primeraných opatrení, štruktúr a zdrojov. Všetky systémy majú viaceré prvky. Medzi kľúčové prvky patria napríklad právne predpisy a politiky, prideľovanie rozpočtových prostriedkov, poskytovanie služieb, koordinačné a monitorovacie orgány, zber údajov, zvyšovanie informovanosti a odborná príprava. Ak má systém ako celok fungovať správne, všetky prvky tohto systému sa musia zaviesť a pracovať </w:t>
      </w:r>
      <w:r>
        <w:lastRenderedPageBreak/>
        <w:t xml:space="preserve">správne. To isté platí pre práva detí. Napríklad vo všetkých právnych predpisoch sa musia podporovať, a pokiaľ možno aj presadzovať práva detí a na služby určené deťom sa musia vyčleniť </w:t>
      </w:r>
      <w:r w:rsidRPr="000F2399">
        <w:rPr>
          <w:rFonts w:asciiTheme="majorBidi" w:hAnsiTheme="majorBidi" w:cstheme="majorBidi"/>
        </w:rPr>
        <w:t>rozpočtové prostriedky v súlade s uplatňovaním ich práv (napr. vzdelávanie, zdravotná starostlivosť). Ide o tzv. prístup zameraný na posilnenie systémov.</w:t>
      </w:r>
    </w:p>
    <w:p w:rsidR="00F15882" w:rsidRPr="000F2399" w:rsidRDefault="00F15882" w:rsidP="00825803">
      <w:pPr>
        <w:pStyle w:val="Odsekzoznamu"/>
        <w:numPr>
          <w:ilvl w:val="0"/>
          <w:numId w:val="9"/>
        </w:numPr>
        <w:spacing w:before="100" w:beforeAutospacing="1" w:after="100" w:afterAutospacing="1" w:line="360" w:lineRule="auto"/>
        <w:ind w:left="357" w:hanging="357"/>
        <w:contextualSpacing/>
        <w:rPr>
          <w:rFonts w:asciiTheme="majorBidi" w:hAnsiTheme="majorBidi" w:cstheme="majorBidi"/>
          <w:b/>
        </w:rPr>
      </w:pPr>
      <w:r w:rsidRPr="000F2399">
        <w:rPr>
          <w:rFonts w:asciiTheme="majorBidi" w:hAnsiTheme="majorBidi" w:cstheme="majorBidi"/>
          <w:b/>
        </w:rPr>
        <w:t>Aký je rozdiel medzi všeobecnými vykonávacími opatreniami (VVO) a prístupom zameraným na posilnenie systémov?</w:t>
      </w:r>
    </w:p>
    <w:p w:rsidR="00761879" w:rsidRPr="000F2399" w:rsidRDefault="00761879" w:rsidP="00FD60B4">
      <w:pPr>
        <w:spacing w:before="100" w:beforeAutospacing="1" w:after="100" w:afterAutospacing="1" w:line="360" w:lineRule="auto"/>
        <w:ind w:right="284"/>
        <w:jc w:val="both"/>
        <w:rPr>
          <w:rFonts w:asciiTheme="majorBidi" w:hAnsiTheme="majorBidi" w:cstheme="majorBidi"/>
          <w:sz w:val="24"/>
          <w:szCs w:val="24"/>
        </w:rPr>
      </w:pPr>
      <w:r w:rsidRPr="000F2399">
        <w:rPr>
          <w:rFonts w:asciiTheme="majorBidi" w:hAnsiTheme="majorBidi" w:cstheme="majorBidi"/>
          <w:sz w:val="24"/>
          <w:szCs w:val="24"/>
        </w:rPr>
        <w:t>Medzi všeobecnými vykonávacími opatreniami (VVO) uvedenými vo všeobecnej poznámke č. 5</w:t>
      </w:r>
      <w:r w:rsidR="00FD60B4" w:rsidRPr="000F2399">
        <w:rPr>
          <w:rStyle w:val="Odkaznapoznmkupodiarou"/>
          <w:rFonts w:asciiTheme="majorBidi" w:hAnsiTheme="majorBidi" w:cstheme="majorBidi"/>
          <w:sz w:val="24"/>
          <w:szCs w:val="24"/>
        </w:rPr>
        <w:footnoteReference w:id="8"/>
      </w:r>
      <w:r w:rsidRPr="000F2399">
        <w:rPr>
          <w:rFonts w:asciiTheme="majorBidi" w:hAnsiTheme="majorBidi" w:cstheme="majorBidi"/>
          <w:sz w:val="24"/>
          <w:szCs w:val="24"/>
        </w:rPr>
        <w:t>, alebo inými slovami širokou škálou opatrení určených na vykonávanie UNCRC, a prístupom zameraným na posilnenie systémov nie je žiadny rozdiel. VVO sa cielene zameriavajú na prvky systému tak, aby sa práva dieťaťa realizovali.</w:t>
      </w:r>
    </w:p>
    <w:p w:rsidR="00F15882" w:rsidRPr="000F2399" w:rsidRDefault="00F15882" w:rsidP="00825803">
      <w:pPr>
        <w:pStyle w:val="Odsekzoznamu"/>
        <w:numPr>
          <w:ilvl w:val="0"/>
          <w:numId w:val="9"/>
        </w:numPr>
        <w:spacing w:before="100" w:beforeAutospacing="1" w:after="100" w:afterAutospacing="1" w:line="360" w:lineRule="auto"/>
        <w:ind w:left="357" w:hanging="357"/>
        <w:contextualSpacing/>
        <w:rPr>
          <w:rFonts w:asciiTheme="majorBidi" w:hAnsiTheme="majorBidi" w:cstheme="majorBidi"/>
          <w:b/>
        </w:rPr>
      </w:pPr>
      <w:r w:rsidRPr="000F2399">
        <w:rPr>
          <w:rFonts w:asciiTheme="majorBidi" w:hAnsiTheme="majorBidi" w:cstheme="majorBidi"/>
          <w:b/>
        </w:rPr>
        <w:t>Ako EÚ zmení na základe revidovaných usmernení spôsob, akým pracuje v oblasti práv dieťaťa?</w:t>
      </w:r>
    </w:p>
    <w:p w:rsidR="005C4B31" w:rsidRPr="000F2399" w:rsidRDefault="005C4B31" w:rsidP="00C91513">
      <w:pPr>
        <w:pStyle w:val="Odsekzoznamu"/>
        <w:spacing w:before="100" w:beforeAutospacing="1" w:after="100" w:afterAutospacing="1" w:line="360" w:lineRule="auto"/>
        <w:ind w:left="0"/>
        <w:contextualSpacing/>
        <w:jc w:val="both"/>
        <w:rPr>
          <w:rFonts w:asciiTheme="majorBidi" w:hAnsiTheme="majorBidi" w:cstheme="majorBidi"/>
        </w:rPr>
      </w:pPr>
    </w:p>
    <w:p w:rsidR="005C4B31" w:rsidRDefault="00761879" w:rsidP="005C4B31">
      <w:pPr>
        <w:pStyle w:val="Odsekzoznamu"/>
        <w:spacing w:before="100" w:beforeAutospacing="1" w:after="100" w:afterAutospacing="1" w:line="360" w:lineRule="auto"/>
        <w:ind w:left="0"/>
        <w:contextualSpacing/>
        <w:jc w:val="both"/>
      </w:pPr>
      <w:r w:rsidRPr="000F2399">
        <w:rPr>
          <w:rFonts w:asciiTheme="majorBidi" w:hAnsiTheme="majorBidi" w:cstheme="majorBidi"/>
        </w:rPr>
        <w:t>Jedným z cieľov usmernení</w:t>
      </w:r>
      <w:r>
        <w:t xml:space="preserve"> je, aby všetci úradníci inštitúcií EÚ a členských štátov EÚ postupovali v súvislosti s právami dieťaťa systematickejšie, a to najmä poskytovaním konkrétnych príkladov, ako a kedy nastoľovať otázku práv dieťaťa prostredníctvom prístupu zameraného na posilnenie systému. Zámerom je tiež ukázať, že práva dieťaťa sú dôležité pre všetkých úradníkov bez ohľadu na úroveň alebo problematiku a sektor, na ktorých sa pracuje. Vďaka týmto usmerneniam by činnosť EÚ zameraná na presadzovanie a ochranu práv dieťaťa mala byť ustálenejšia, udržateľnejšia, konzistentnejšia a ohľaduplnejšia.</w:t>
      </w:r>
    </w:p>
    <w:p w:rsidR="005C4B31" w:rsidRDefault="005C4B31" w:rsidP="005C4B31">
      <w:pPr>
        <w:pStyle w:val="Odsekzoznamu"/>
        <w:spacing w:before="100" w:beforeAutospacing="1" w:after="100" w:afterAutospacing="1" w:line="360" w:lineRule="auto"/>
        <w:ind w:left="0"/>
        <w:contextualSpacing/>
        <w:jc w:val="both"/>
      </w:pPr>
    </w:p>
    <w:p w:rsidR="00F15882" w:rsidRPr="005C4B31" w:rsidRDefault="00F15882" w:rsidP="005C4B31">
      <w:pPr>
        <w:pStyle w:val="Odsekzoznamu"/>
        <w:numPr>
          <w:ilvl w:val="0"/>
          <w:numId w:val="16"/>
        </w:numPr>
        <w:spacing w:before="100" w:beforeAutospacing="1" w:after="100" w:afterAutospacing="1" w:line="360" w:lineRule="auto"/>
        <w:ind w:left="426" w:hanging="426"/>
        <w:contextualSpacing/>
        <w:jc w:val="both"/>
      </w:pPr>
      <w:r>
        <w:rPr>
          <w:b/>
        </w:rPr>
        <w:t>Ako súvisia tieto usmernenia s ostatnými usmerneniami o ľudských právach?</w:t>
      </w:r>
    </w:p>
    <w:p w:rsidR="00572876" w:rsidRPr="0091204F" w:rsidRDefault="00117BB5" w:rsidP="00117BB5">
      <w:pPr>
        <w:spacing w:after="0" w:line="360" w:lineRule="auto"/>
        <w:jc w:val="both"/>
        <w:rPr>
          <w:rFonts w:ascii="Times New Roman" w:hAnsi="Times New Roman"/>
          <w:color w:val="000000"/>
          <w:sz w:val="24"/>
          <w:szCs w:val="24"/>
        </w:rPr>
      </w:pPr>
      <w:r>
        <w:rPr>
          <w:rFonts w:ascii="Times New Roman" w:hAnsi="Times New Roman"/>
          <w:sz w:val="24"/>
          <w:szCs w:val="24"/>
        </w:rPr>
        <w:t>EÚ prijala 11 usmernení EÚ o ľudských právach. Väčšina usmernení EÚ o ľudských právach dopĺňa usmernenia o presadzovaní a ochrane práv dieťaťa. Preto je dôležité, aby všetci úradníci inštitúcií EÚ a členských štátov EÚ o nich vedeli a odvolávali sa na ne.</w:t>
      </w:r>
    </w:p>
    <w:p w:rsidR="00117BB5" w:rsidRDefault="00117BB5" w:rsidP="004D0CC3">
      <w:pPr>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Usmernenia možno nájsť na tejto adrese: </w:t>
      </w:r>
      <w:hyperlink r:id="rId9" w:history="1">
        <w:r>
          <w:rPr>
            <w:rFonts w:ascii="Times New Roman" w:hAnsi="Times New Roman"/>
            <w:color w:val="0000FF"/>
            <w:sz w:val="24"/>
            <w:u w:val="single"/>
          </w:rPr>
          <w:t>https://eeas.europa.eu/headquarters/headquarters-homepage/8441/human-rights-guidelines_en</w:t>
        </w:r>
      </w:hyperlink>
    </w:p>
    <w:p w:rsidR="00117BB5" w:rsidRPr="0091204F" w:rsidRDefault="00117BB5" w:rsidP="000F2399">
      <w:pPr>
        <w:pStyle w:val="Odsekzoznamu"/>
        <w:spacing w:before="100" w:beforeAutospacing="1" w:after="100" w:afterAutospacing="1" w:line="312" w:lineRule="auto"/>
        <w:ind w:left="0"/>
        <w:contextualSpacing/>
      </w:pPr>
      <w:r>
        <w:lastRenderedPageBreak/>
        <w:t>Všetky ľudské práva sú vzájomne prepojené a vzájomne závislé, preto niektoré práva uvedené v usmerneniach o právach dieťaťa môžu byť podrobnejšie rozpracované v ďalších usmerneniach.</w:t>
      </w:r>
    </w:p>
    <w:p w:rsidR="00572876" w:rsidRDefault="00572876" w:rsidP="000F2399">
      <w:pPr>
        <w:pStyle w:val="Odsekzoznamu"/>
        <w:spacing w:before="100" w:beforeAutospacing="1" w:after="100" w:afterAutospacing="1" w:line="312" w:lineRule="auto"/>
        <w:ind w:left="0"/>
        <w:contextualSpacing/>
        <w:rPr>
          <w:highlight w:val="yellow"/>
        </w:rPr>
      </w:pPr>
    </w:p>
    <w:p w:rsidR="00572F9C" w:rsidRPr="0091204F" w:rsidRDefault="00572F9C" w:rsidP="000F2399">
      <w:pPr>
        <w:pStyle w:val="Odsekzoznamu"/>
        <w:spacing w:before="100" w:beforeAutospacing="1" w:after="100" w:afterAutospacing="1" w:line="312" w:lineRule="auto"/>
        <w:ind w:left="0"/>
        <w:contextualSpacing/>
        <w:rPr>
          <w:highlight w:val="yellow"/>
        </w:rPr>
      </w:pPr>
    </w:p>
    <w:p w:rsidR="00F15882" w:rsidRPr="0091204F" w:rsidRDefault="00F15882" w:rsidP="000F2399">
      <w:pPr>
        <w:pStyle w:val="Odsekzoznamu"/>
        <w:numPr>
          <w:ilvl w:val="0"/>
          <w:numId w:val="9"/>
        </w:numPr>
        <w:spacing w:before="100" w:beforeAutospacing="1" w:after="100" w:afterAutospacing="1" w:line="312" w:lineRule="auto"/>
        <w:ind w:left="357" w:hanging="357"/>
        <w:contextualSpacing/>
        <w:rPr>
          <w:b/>
        </w:rPr>
      </w:pPr>
      <w:r>
        <w:rPr>
          <w:b/>
        </w:rPr>
        <w:t>Budú na podporu vykonávania usmernení dostupné určité finančné prostriedky?</w:t>
      </w:r>
    </w:p>
    <w:p w:rsidR="00384032" w:rsidRPr="0091204F" w:rsidRDefault="00384032" w:rsidP="000F2399">
      <w:pPr>
        <w:pStyle w:val="Odsekzoznamu"/>
        <w:spacing w:before="100" w:beforeAutospacing="1" w:after="100" w:afterAutospacing="1" w:line="312" w:lineRule="auto"/>
        <w:ind w:left="0"/>
        <w:contextualSpacing/>
      </w:pPr>
    </w:p>
    <w:p w:rsidR="00117BB5" w:rsidRPr="0091204F" w:rsidRDefault="00836C84" w:rsidP="000F2399">
      <w:pPr>
        <w:pStyle w:val="Odsekzoznamu"/>
        <w:spacing w:before="100" w:beforeAutospacing="1" w:after="100" w:afterAutospacing="1" w:line="312" w:lineRule="auto"/>
        <w:ind w:left="0"/>
        <w:contextualSpacing/>
        <w:jc w:val="both"/>
      </w:pPr>
      <w:r>
        <w:t>Na podporu vykonávania týchto usmernení nebudú vyčlenené dodatočné finančné prostriedky. Usmernenia sa vzťahujú na prístup, ktorý EÚ uplatňuje pri presadzovaní a ochrane práv dieťaťa vo vzťahoch s partnerskými krajinami. S mnohými činnosťami preto v skutočnosti nie sú spojené finančné náklady. Ide napríklad o odbornú prípravu úradníkov v oblasti práv dieťaťa a poskytovanie príležitostí pre zvyšovanie informovanosti. Pravidelná finančná podpora na oblasť práv dieťaťa hlavne v rámci programov financovania Komisie bude pokračovať.</w:t>
      </w:r>
    </w:p>
    <w:p w:rsidR="00117BB5" w:rsidRPr="0091204F" w:rsidRDefault="00117BB5" w:rsidP="000F2399">
      <w:pPr>
        <w:pStyle w:val="Odsekzoznamu"/>
        <w:spacing w:before="100" w:beforeAutospacing="1" w:after="100" w:afterAutospacing="1" w:line="312" w:lineRule="auto"/>
        <w:ind w:left="0"/>
        <w:contextualSpacing/>
        <w:jc w:val="both"/>
      </w:pPr>
    </w:p>
    <w:p w:rsidR="00C9530B" w:rsidRPr="0091204F" w:rsidRDefault="00C9530B" w:rsidP="000F2399">
      <w:pPr>
        <w:pStyle w:val="Odsekzoznamu"/>
        <w:numPr>
          <w:ilvl w:val="0"/>
          <w:numId w:val="16"/>
        </w:numPr>
        <w:spacing w:before="100" w:beforeAutospacing="1" w:after="100" w:afterAutospacing="1" w:line="312" w:lineRule="auto"/>
        <w:ind w:left="284" w:hanging="284"/>
        <w:contextualSpacing/>
        <w:jc w:val="both"/>
      </w:pPr>
      <w:r>
        <w:rPr>
          <w:b/>
        </w:rPr>
        <w:t>Aké konkrétne opatrenia by sa mohli zrealizovať s cieľom vykonávať tieto revidované usmernenia?</w:t>
      </w:r>
    </w:p>
    <w:p w:rsidR="00117BB5" w:rsidRPr="000F2399" w:rsidRDefault="00117BB5" w:rsidP="000F2399">
      <w:pPr>
        <w:spacing w:before="100" w:beforeAutospacing="1" w:after="100" w:afterAutospacing="1" w:line="312" w:lineRule="auto"/>
        <w:ind w:right="284"/>
        <w:jc w:val="both"/>
        <w:rPr>
          <w:rFonts w:asciiTheme="majorBidi" w:hAnsiTheme="majorBidi" w:cstheme="majorBidi"/>
          <w:sz w:val="24"/>
          <w:szCs w:val="24"/>
        </w:rPr>
      </w:pPr>
      <w:r>
        <w:rPr>
          <w:rFonts w:ascii="Times New Roman" w:hAnsi="Times New Roman"/>
          <w:color w:val="000000"/>
          <w:sz w:val="24"/>
          <w:szCs w:val="24"/>
        </w:rPr>
        <w:t xml:space="preserve">V oddieli Operatívne usmernenia sa uvádza rozsiahly počet opatrení. </w:t>
      </w:r>
      <w:r>
        <w:rPr>
          <w:rFonts w:ascii="Times New Roman" w:hAnsi="Times New Roman"/>
          <w:sz w:val="24"/>
          <w:szCs w:val="24"/>
        </w:rPr>
        <w:t xml:space="preserve">Delia sa na opatrenia, ktoré môžu vykonávať aktéri EÚ v záujme presadzovania a ochrany práv dieťaťa a na ďalšie </w:t>
      </w:r>
      <w:r w:rsidRPr="000F2399">
        <w:rPr>
          <w:rFonts w:asciiTheme="majorBidi" w:hAnsiTheme="majorBidi" w:cstheme="majorBidi"/>
          <w:sz w:val="24"/>
          <w:szCs w:val="24"/>
        </w:rPr>
        <w:t>opatrenia, ktoré by na podnet EÚ mali vykonávať vlády a/alebo ďalší aktéri. Ďalej sa uvádzajú niektoré príklady prevzaté z usmernení.</w:t>
      </w:r>
    </w:p>
    <w:p w:rsidR="00117BB5" w:rsidRPr="000F2399" w:rsidRDefault="00117BB5" w:rsidP="000F2399">
      <w:pPr>
        <w:spacing w:before="100" w:beforeAutospacing="1" w:after="100" w:afterAutospacing="1" w:line="312" w:lineRule="auto"/>
        <w:ind w:right="284"/>
        <w:jc w:val="both"/>
        <w:rPr>
          <w:rFonts w:asciiTheme="majorBidi" w:hAnsiTheme="majorBidi" w:cstheme="majorBidi"/>
          <w:b/>
          <w:sz w:val="24"/>
          <w:szCs w:val="24"/>
        </w:rPr>
      </w:pPr>
      <w:r w:rsidRPr="000F2399">
        <w:rPr>
          <w:rFonts w:asciiTheme="majorBidi" w:hAnsiTheme="majorBidi" w:cstheme="majorBidi"/>
          <w:b/>
          <w:sz w:val="24"/>
          <w:szCs w:val="24"/>
        </w:rPr>
        <w:t>EÚ by mala partnerské krajiny podporovať a podnecovať, aby:</w:t>
      </w:r>
    </w:p>
    <w:p w:rsidR="00117BB5" w:rsidRPr="000F2399" w:rsidRDefault="00117BB5" w:rsidP="000F2399">
      <w:pPr>
        <w:numPr>
          <w:ilvl w:val="0"/>
          <w:numId w:val="22"/>
        </w:numPr>
        <w:autoSpaceDE w:val="0"/>
        <w:autoSpaceDN w:val="0"/>
        <w:adjustRightInd w:val="0"/>
        <w:spacing w:before="100" w:beforeAutospacing="1" w:after="100" w:afterAutospacing="1" w:line="312" w:lineRule="auto"/>
        <w:ind w:right="284"/>
        <w:jc w:val="both"/>
        <w:rPr>
          <w:rFonts w:asciiTheme="majorBidi" w:hAnsiTheme="majorBidi" w:cstheme="majorBidi"/>
          <w:sz w:val="24"/>
          <w:szCs w:val="24"/>
        </w:rPr>
      </w:pPr>
      <w:r w:rsidRPr="000F2399">
        <w:rPr>
          <w:rFonts w:asciiTheme="majorBidi" w:hAnsiTheme="majorBidi" w:cstheme="majorBidi"/>
          <w:sz w:val="24"/>
          <w:szCs w:val="24"/>
        </w:rPr>
        <w:t>Prijali národnú stratégiu v oblasti práv dieťaťa na základe analýzy situácie detí v danej krajine, v ktorej sa zohľadnia rodové aspekty.</w:t>
      </w:r>
    </w:p>
    <w:p w:rsidR="00117BB5" w:rsidRPr="000F2399" w:rsidRDefault="00117BB5" w:rsidP="000F2399">
      <w:pPr>
        <w:numPr>
          <w:ilvl w:val="0"/>
          <w:numId w:val="22"/>
        </w:numPr>
        <w:autoSpaceDE w:val="0"/>
        <w:autoSpaceDN w:val="0"/>
        <w:adjustRightInd w:val="0"/>
        <w:spacing w:before="100" w:beforeAutospacing="1" w:after="100" w:afterAutospacing="1" w:line="312" w:lineRule="auto"/>
        <w:ind w:right="284"/>
        <w:jc w:val="both"/>
        <w:rPr>
          <w:rFonts w:asciiTheme="majorBidi" w:hAnsiTheme="majorBidi" w:cstheme="majorBidi"/>
          <w:sz w:val="24"/>
          <w:szCs w:val="24"/>
        </w:rPr>
      </w:pPr>
      <w:r w:rsidRPr="000F2399">
        <w:rPr>
          <w:rFonts w:asciiTheme="majorBidi" w:hAnsiTheme="majorBidi" w:cstheme="majorBidi"/>
          <w:sz w:val="24"/>
          <w:szCs w:val="24"/>
        </w:rPr>
        <w:t>Navrhovali a realizovali na vnútroštátnej úrovni zostavovanie rozpočtov, zohľadňujúc pritom potreby detí tak, aby sa v rozpočtoch zviditeľnilo hľadisko dieťaťa, najmä detí v zraniteľných situáciách</w:t>
      </w:r>
      <w:r w:rsidR="00FD60B4" w:rsidRPr="000F2399">
        <w:rPr>
          <w:rStyle w:val="Odkaznapoznmkupodiarou"/>
          <w:rFonts w:asciiTheme="majorBidi" w:hAnsiTheme="majorBidi" w:cstheme="majorBidi"/>
          <w:sz w:val="24"/>
          <w:szCs w:val="24"/>
        </w:rPr>
        <w:footnoteReference w:id="9"/>
      </w:r>
      <w:r w:rsidRPr="000F2399">
        <w:rPr>
          <w:rFonts w:asciiTheme="majorBidi" w:hAnsiTheme="majorBidi" w:cstheme="majorBidi"/>
          <w:sz w:val="24"/>
          <w:szCs w:val="24"/>
        </w:rPr>
        <w:t>.</w:t>
      </w:r>
    </w:p>
    <w:p w:rsidR="00117BB5" w:rsidRPr="0091204F" w:rsidRDefault="00117BB5" w:rsidP="000F2399">
      <w:pPr>
        <w:numPr>
          <w:ilvl w:val="0"/>
          <w:numId w:val="22"/>
        </w:numPr>
        <w:shd w:val="clear" w:color="auto" w:fill="FFFFFF"/>
        <w:spacing w:before="100" w:beforeAutospacing="1" w:after="100" w:afterAutospacing="1" w:line="312" w:lineRule="auto"/>
        <w:ind w:right="284"/>
        <w:jc w:val="both"/>
        <w:rPr>
          <w:rFonts w:ascii="Times New Roman" w:hAnsi="Times New Roman"/>
          <w:sz w:val="24"/>
          <w:szCs w:val="24"/>
        </w:rPr>
      </w:pPr>
      <w:r>
        <w:rPr>
          <w:rFonts w:ascii="Times New Roman" w:hAnsi="Times New Roman"/>
          <w:sz w:val="24"/>
          <w:szCs w:val="24"/>
        </w:rPr>
        <w:t>Vytvorili a posilnili nezávislé inštitúcie pre práva dieťaťa vrátane vnútroštátnych inštitúcií pre ľudské práva a/alebo ombudsmanov pre deti.</w:t>
      </w:r>
    </w:p>
    <w:p w:rsidR="00C52D58" w:rsidRPr="0091204F" w:rsidRDefault="00E26E93" w:rsidP="000F2399">
      <w:pPr>
        <w:numPr>
          <w:ilvl w:val="0"/>
          <w:numId w:val="22"/>
        </w:numPr>
        <w:spacing w:before="100" w:beforeAutospacing="1" w:after="100" w:afterAutospacing="1" w:line="312" w:lineRule="auto"/>
        <w:ind w:right="284"/>
        <w:jc w:val="both"/>
        <w:rPr>
          <w:rFonts w:ascii="Times New Roman" w:hAnsi="Times New Roman"/>
          <w:sz w:val="24"/>
          <w:szCs w:val="24"/>
        </w:rPr>
      </w:pPr>
      <w:r>
        <w:rPr>
          <w:rFonts w:ascii="Times New Roman" w:hAnsi="Times New Roman"/>
          <w:sz w:val="24"/>
          <w:szCs w:val="24"/>
        </w:rPr>
        <w:t>Zbierali a využívali rozčlenené údaje, pretože sa tým zviditeľňuje nerovnosť a diskriminácia.</w:t>
      </w:r>
    </w:p>
    <w:p w:rsidR="000F2399" w:rsidRDefault="000F2399" w:rsidP="00C52D58">
      <w:pPr>
        <w:spacing w:before="100" w:beforeAutospacing="1" w:after="100" w:afterAutospacing="1" w:line="360" w:lineRule="auto"/>
        <w:ind w:left="360" w:right="284"/>
        <w:jc w:val="both"/>
        <w:rPr>
          <w:rFonts w:ascii="Times New Roman" w:hAnsi="Times New Roman"/>
          <w:b/>
          <w:sz w:val="24"/>
          <w:szCs w:val="24"/>
        </w:rPr>
      </w:pPr>
    </w:p>
    <w:p w:rsidR="000F2399" w:rsidRDefault="000F2399" w:rsidP="00C52D58">
      <w:pPr>
        <w:spacing w:before="100" w:beforeAutospacing="1" w:after="100" w:afterAutospacing="1" w:line="360" w:lineRule="auto"/>
        <w:ind w:left="360" w:right="284"/>
        <w:jc w:val="both"/>
        <w:rPr>
          <w:rFonts w:ascii="Times New Roman" w:hAnsi="Times New Roman"/>
          <w:b/>
          <w:sz w:val="24"/>
          <w:szCs w:val="24"/>
        </w:rPr>
      </w:pPr>
    </w:p>
    <w:p w:rsidR="00117BB5" w:rsidRPr="0091204F" w:rsidRDefault="00117BB5" w:rsidP="00C52D58">
      <w:pPr>
        <w:spacing w:before="100" w:beforeAutospacing="1" w:after="100" w:afterAutospacing="1" w:line="360" w:lineRule="auto"/>
        <w:ind w:left="360" w:right="284"/>
        <w:jc w:val="both"/>
        <w:rPr>
          <w:rFonts w:ascii="Times New Roman" w:hAnsi="Times New Roman"/>
          <w:b/>
          <w:sz w:val="24"/>
          <w:szCs w:val="24"/>
        </w:rPr>
      </w:pPr>
      <w:r>
        <w:rPr>
          <w:rFonts w:ascii="Times New Roman" w:hAnsi="Times New Roman"/>
          <w:b/>
          <w:sz w:val="24"/>
          <w:szCs w:val="24"/>
        </w:rPr>
        <w:t>Opatrenia EÚ okrem iného zahŕňajú:</w:t>
      </w:r>
    </w:p>
    <w:p w:rsidR="00117BB5" w:rsidRPr="0091204F" w:rsidRDefault="00117BB5" w:rsidP="00C91513">
      <w:pPr>
        <w:numPr>
          <w:ilvl w:val="0"/>
          <w:numId w:val="23"/>
        </w:numPr>
        <w:spacing w:before="100" w:beforeAutospacing="1" w:after="100" w:afterAutospacing="1" w:line="360" w:lineRule="auto"/>
        <w:ind w:right="284"/>
        <w:jc w:val="both"/>
        <w:rPr>
          <w:rFonts w:ascii="Times New Roman" w:hAnsi="Times New Roman"/>
          <w:sz w:val="24"/>
          <w:szCs w:val="24"/>
        </w:rPr>
      </w:pPr>
      <w:r>
        <w:rPr>
          <w:rFonts w:ascii="Times New Roman" w:hAnsi="Times New Roman"/>
          <w:bCs/>
          <w:sz w:val="24"/>
          <w:szCs w:val="24"/>
        </w:rPr>
        <w:t>Zabezpečiť, aby mali pracovníci príležitosť absolvovať odbornú prípravu zameranú na prístup k rozvojovej spolupráci založený na právach, ktorý zahŕňa všetky ľudské práva.</w:t>
      </w:r>
    </w:p>
    <w:p w:rsidR="00117BB5" w:rsidRPr="0091204F" w:rsidRDefault="00117BB5" w:rsidP="00C91513">
      <w:pPr>
        <w:numPr>
          <w:ilvl w:val="0"/>
          <w:numId w:val="23"/>
        </w:numPr>
        <w:spacing w:before="100" w:beforeAutospacing="1" w:after="100" w:afterAutospacing="1" w:line="360" w:lineRule="auto"/>
        <w:ind w:right="284"/>
        <w:contextualSpacing/>
        <w:jc w:val="both"/>
        <w:rPr>
          <w:rFonts w:ascii="Times New Roman" w:hAnsi="Times New Roman"/>
          <w:b/>
          <w:sz w:val="24"/>
          <w:szCs w:val="24"/>
        </w:rPr>
      </w:pPr>
      <w:r>
        <w:rPr>
          <w:rFonts w:ascii="Times New Roman" w:hAnsi="Times New Roman"/>
          <w:sz w:val="24"/>
          <w:szCs w:val="24"/>
        </w:rPr>
        <w:t>Vychádzať zo súboru nástrojov EÚ – UNICEF v oblasti práv dieťaťa v záujme posilnenia tvorby programov zohľadňujúcich potreby detí vo všetkých sektoroch.</w:t>
      </w:r>
    </w:p>
    <w:p w:rsidR="00117BB5" w:rsidRPr="0091204F" w:rsidRDefault="00117BB5" w:rsidP="00117BB5">
      <w:pPr>
        <w:spacing w:before="100" w:beforeAutospacing="1" w:after="100" w:afterAutospacing="1" w:line="360" w:lineRule="auto"/>
        <w:ind w:right="284"/>
        <w:contextualSpacing/>
        <w:jc w:val="both"/>
        <w:rPr>
          <w:rFonts w:ascii="Times New Roman" w:hAnsi="Times New Roman"/>
          <w:b/>
          <w:sz w:val="24"/>
          <w:szCs w:val="24"/>
        </w:rPr>
      </w:pPr>
    </w:p>
    <w:p w:rsidR="00461E9F" w:rsidRDefault="00461E9F" w:rsidP="00C91513">
      <w:pPr>
        <w:numPr>
          <w:ilvl w:val="0"/>
          <w:numId w:val="9"/>
        </w:numPr>
        <w:spacing w:before="100" w:beforeAutospacing="1" w:after="100" w:afterAutospacing="1" w:line="360" w:lineRule="auto"/>
        <w:ind w:right="284"/>
        <w:contextualSpacing/>
        <w:jc w:val="both"/>
        <w:rPr>
          <w:rFonts w:ascii="Times New Roman" w:hAnsi="Times New Roman"/>
          <w:b/>
          <w:sz w:val="24"/>
          <w:szCs w:val="24"/>
        </w:rPr>
      </w:pPr>
      <w:r>
        <w:rPr>
          <w:rFonts w:ascii="Times New Roman" w:hAnsi="Times New Roman"/>
          <w:b/>
          <w:sz w:val="24"/>
          <w:szCs w:val="24"/>
        </w:rPr>
        <w:t>Uskutoční sa preskúmanie vykonávania týchto usmernení?</w:t>
      </w:r>
    </w:p>
    <w:p w:rsidR="0091204F" w:rsidRPr="0091204F" w:rsidRDefault="0091204F" w:rsidP="0091204F">
      <w:pPr>
        <w:spacing w:before="100" w:beforeAutospacing="1" w:after="100" w:afterAutospacing="1" w:line="360" w:lineRule="auto"/>
        <w:ind w:left="360" w:right="284"/>
        <w:contextualSpacing/>
        <w:jc w:val="both"/>
        <w:rPr>
          <w:rFonts w:ascii="Times New Roman" w:hAnsi="Times New Roman"/>
          <w:b/>
          <w:sz w:val="24"/>
          <w:szCs w:val="24"/>
        </w:rPr>
      </w:pPr>
    </w:p>
    <w:p w:rsidR="00123A48" w:rsidRPr="0091204F" w:rsidRDefault="00C34043" w:rsidP="00EB0A3E">
      <w:pPr>
        <w:autoSpaceDE w:val="0"/>
        <w:autoSpaceDN w:val="0"/>
        <w:adjustRightInd w:val="0"/>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Vykonávanie týchto usmernení bude podporovať pracovná skupina Rady pre ľudské práva (COHOM). Vykonávanie usmernení sa bude pravidelne preskúmavať.</w:t>
      </w:r>
    </w:p>
    <w:sectPr w:rsidR="00123A48" w:rsidRPr="0091204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151" w:rsidRDefault="00F34151" w:rsidP="005F05C3">
      <w:pPr>
        <w:spacing w:after="0" w:line="240" w:lineRule="auto"/>
      </w:pPr>
      <w:r>
        <w:separator/>
      </w:r>
    </w:p>
  </w:endnote>
  <w:endnote w:type="continuationSeparator" w:id="0">
    <w:p w:rsidR="00F34151" w:rsidRDefault="00F34151" w:rsidP="005F0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323" w:rsidRDefault="00546323">
    <w:pPr>
      <w:pStyle w:val="Pta"/>
      <w:jc w:val="center"/>
    </w:pPr>
    <w:r>
      <w:fldChar w:fldCharType="begin"/>
    </w:r>
    <w:r>
      <w:instrText xml:space="preserve"> PAGE   \* MERGEFORMAT </w:instrText>
    </w:r>
    <w:r>
      <w:fldChar w:fldCharType="separate"/>
    </w:r>
    <w:r w:rsidR="00737B70">
      <w:rPr>
        <w:noProof/>
      </w:rPr>
      <w:t>1</w:t>
    </w:r>
    <w:r>
      <w:fldChar w:fldCharType="end"/>
    </w:r>
  </w:p>
  <w:p w:rsidR="00546323" w:rsidRDefault="0054632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151" w:rsidRDefault="00F34151" w:rsidP="005F05C3">
      <w:pPr>
        <w:spacing w:after="0" w:line="240" w:lineRule="auto"/>
      </w:pPr>
      <w:r>
        <w:separator/>
      </w:r>
    </w:p>
  </w:footnote>
  <w:footnote w:type="continuationSeparator" w:id="0">
    <w:p w:rsidR="00F34151" w:rsidRDefault="00F34151" w:rsidP="005F05C3">
      <w:pPr>
        <w:spacing w:after="0" w:line="240" w:lineRule="auto"/>
      </w:pPr>
      <w:r>
        <w:continuationSeparator/>
      </w:r>
    </w:p>
  </w:footnote>
  <w:footnote w:id="1">
    <w:p w:rsidR="00FD60B4" w:rsidRPr="00FD60B4" w:rsidRDefault="00FD60B4">
      <w:pPr>
        <w:pStyle w:val="Textpoznmkypodiarou"/>
        <w:rPr>
          <w:sz w:val="20"/>
        </w:rPr>
      </w:pPr>
      <w:r w:rsidRPr="00FD60B4">
        <w:rPr>
          <w:rStyle w:val="Odkaznapoznmkupodiarou"/>
          <w:sz w:val="20"/>
        </w:rPr>
        <w:footnoteRef/>
      </w:r>
      <w:r>
        <w:rPr>
          <w:sz w:val="20"/>
        </w:rPr>
        <w:tab/>
      </w:r>
      <w:r>
        <w:rPr>
          <w:i/>
          <w:iCs/>
          <w:sz w:val="20"/>
        </w:rPr>
        <w:t>Transformujeme náš svet:</w:t>
      </w:r>
      <w:r>
        <w:rPr>
          <w:sz w:val="20"/>
        </w:rPr>
        <w:t xml:space="preserve"> </w:t>
      </w:r>
      <w:r>
        <w:rPr>
          <w:i/>
          <w:sz w:val="20"/>
        </w:rPr>
        <w:t>program trvalo udržateľného rozvoja do roku 2030</w:t>
      </w:r>
      <w:r>
        <w:rPr>
          <w:sz w:val="20"/>
        </w:rPr>
        <w:t>, rezolúcia prijatá Valným zhromaždením OSN 25. septembra 2015 (UNGA A/RES/70/1).</w:t>
      </w:r>
    </w:p>
  </w:footnote>
  <w:footnote w:id="2">
    <w:p w:rsidR="00FD60B4" w:rsidRPr="00FD60B4" w:rsidRDefault="00FD60B4">
      <w:pPr>
        <w:pStyle w:val="Textpoznmkypodiarou"/>
        <w:rPr>
          <w:sz w:val="20"/>
        </w:rPr>
      </w:pPr>
      <w:r w:rsidRPr="00FD60B4">
        <w:rPr>
          <w:rStyle w:val="Odkaznapoznmkupodiarou"/>
          <w:sz w:val="20"/>
        </w:rPr>
        <w:footnoteRef/>
      </w:r>
      <w:r>
        <w:rPr>
          <w:sz w:val="20"/>
        </w:rPr>
        <w:tab/>
        <w:t>Ľudské práva a demokracia: strategický rámec EÚ a akčný plán EÚ, 11855/2012, jún 2012.</w:t>
      </w:r>
    </w:p>
  </w:footnote>
  <w:footnote w:id="3">
    <w:p w:rsidR="00FD60B4" w:rsidRPr="00FD60B4" w:rsidRDefault="00FD60B4">
      <w:pPr>
        <w:pStyle w:val="Textpoznmkypodiarou"/>
        <w:rPr>
          <w:sz w:val="20"/>
        </w:rPr>
      </w:pPr>
      <w:r w:rsidRPr="00FD60B4">
        <w:rPr>
          <w:rStyle w:val="Odkaznapoznmkupodiarou"/>
          <w:sz w:val="20"/>
        </w:rPr>
        <w:footnoteRef/>
      </w:r>
      <w:r>
        <w:rPr>
          <w:sz w:val="20"/>
        </w:rPr>
        <w:tab/>
        <w:t xml:space="preserve">Závery Rady o prístupe k rozvojovej spolupráci založenom na právach, 9987/14, máj 2014. Komisia vypracovala súbor nástrojov na usmernenie personálu pri realizácii prístupu založeného na právach, </w:t>
      </w:r>
      <w:r>
        <w:rPr>
          <w:i/>
          <w:sz w:val="20"/>
        </w:rPr>
        <w:t>pracovný dokument útvarov Komisie Súbor nástrojov pre prístup založený na právach, ktorý zahŕňa všetky ľudské práva v záujme rozvojovej spolupráce EÚ</w:t>
      </w:r>
      <w:r>
        <w:rPr>
          <w:sz w:val="20"/>
        </w:rPr>
        <w:t xml:space="preserve"> (SWD(2014) 152 final) (9489/14, 5. mája 2014).</w:t>
      </w:r>
    </w:p>
  </w:footnote>
  <w:footnote w:id="4">
    <w:p w:rsidR="00FD60B4" w:rsidRPr="00FD60B4" w:rsidRDefault="00FD60B4" w:rsidP="00FD60B4">
      <w:pPr>
        <w:pStyle w:val="Textpoznmkypodiarou"/>
        <w:rPr>
          <w:sz w:val="20"/>
        </w:rPr>
      </w:pPr>
      <w:r w:rsidRPr="00FD60B4">
        <w:rPr>
          <w:rStyle w:val="Odkaznapoznmkupodiarou"/>
          <w:sz w:val="20"/>
        </w:rPr>
        <w:footnoteRef/>
      </w:r>
      <w:r>
        <w:rPr>
          <w:sz w:val="20"/>
        </w:rPr>
        <w:tab/>
        <w:t>Globálna stratégia pre zahraničnú a bezpečnostnú politiku Európskej únie</w:t>
      </w:r>
      <w:hyperlink r:id="rId1" w:history="1">
        <w:r>
          <w:rPr>
            <w:rStyle w:val="Hypertextovprepojenie"/>
            <w:sz w:val="20"/>
          </w:rPr>
          <w:t>https://europa.eu/globalstrategy/en/global-strategy-foreign-and-security-policy-european-union</w:t>
        </w:r>
      </w:hyperlink>
    </w:p>
  </w:footnote>
  <w:footnote w:id="5">
    <w:p w:rsidR="00FD60B4" w:rsidRPr="00FD60B4" w:rsidRDefault="00FD60B4" w:rsidP="00FD60B4">
      <w:pPr>
        <w:pStyle w:val="Textpoznmkypodiarou"/>
        <w:rPr>
          <w:sz w:val="20"/>
        </w:rPr>
      </w:pPr>
      <w:r w:rsidRPr="00FD60B4">
        <w:rPr>
          <w:rStyle w:val="Odkaznapoznmkupodiarou"/>
          <w:sz w:val="20"/>
        </w:rPr>
        <w:footnoteRef/>
      </w:r>
      <w:r>
        <w:rPr>
          <w:sz w:val="20"/>
        </w:rPr>
        <w:tab/>
        <w:t>Návrh nového Európskeho konsenzu o rozvoji – Náš svet, naša dôstojnosť, naša budúcnosť, COM(2016) 740 final, 22. novembra 2016.</w:t>
      </w:r>
    </w:p>
  </w:footnote>
  <w:footnote w:id="6">
    <w:p w:rsidR="00FD60B4" w:rsidRPr="000F2399" w:rsidRDefault="00FD60B4">
      <w:pPr>
        <w:pStyle w:val="Textpoznmkypodiarou"/>
        <w:rPr>
          <w:rFonts w:asciiTheme="minorHAnsi" w:hAnsiTheme="minorHAnsi" w:cstheme="minorHAnsi"/>
          <w:sz w:val="20"/>
        </w:rPr>
      </w:pPr>
      <w:r w:rsidRPr="000F2399">
        <w:rPr>
          <w:rStyle w:val="Odkaznapoznmkupodiarou"/>
          <w:rFonts w:asciiTheme="minorHAnsi" w:hAnsiTheme="minorHAnsi" w:cstheme="minorHAnsi"/>
          <w:sz w:val="20"/>
        </w:rPr>
        <w:footnoteRef/>
      </w:r>
      <w:r w:rsidR="000F2399">
        <w:rPr>
          <w:rFonts w:asciiTheme="minorHAnsi" w:hAnsiTheme="minorHAnsi" w:cstheme="minorHAnsi"/>
          <w:sz w:val="20"/>
        </w:rPr>
        <w:tab/>
      </w:r>
      <w:r w:rsidRPr="000F2399">
        <w:rPr>
          <w:rFonts w:asciiTheme="minorHAnsi" w:hAnsiTheme="minorHAnsi" w:cstheme="minorHAnsi"/>
          <w:sz w:val="20"/>
        </w:rPr>
        <w:t>Ľudské práva a demokracia: strategický rámec EÚ a akčný plán EÚ, 11855/2012, jún 2012.</w:t>
      </w:r>
    </w:p>
  </w:footnote>
  <w:footnote w:id="7">
    <w:p w:rsidR="00FD60B4" w:rsidRPr="00FD60B4" w:rsidRDefault="00FD60B4" w:rsidP="00FD60B4">
      <w:pPr>
        <w:pStyle w:val="Textpoznmkypodiarou"/>
        <w:rPr>
          <w:sz w:val="20"/>
        </w:rPr>
      </w:pPr>
      <w:r w:rsidRPr="00FD60B4">
        <w:rPr>
          <w:rStyle w:val="Odkaznapoznmkupodiarou"/>
          <w:sz w:val="20"/>
        </w:rPr>
        <w:footnoteRef/>
      </w:r>
      <w:r>
        <w:rPr>
          <w:sz w:val="20"/>
        </w:rPr>
        <w:tab/>
      </w:r>
      <w:r>
        <w:rPr>
          <w:i/>
          <w:sz w:val="20"/>
        </w:rPr>
        <w:t>Pracovný dokument útvarov Komisie Súbor nástrojov pre prístup založený na právach, ktorý zahŕňa všetky ľudské práva v záujme rozvojovej spolupráce EÚ</w:t>
      </w:r>
      <w:r>
        <w:rPr>
          <w:sz w:val="20"/>
        </w:rPr>
        <w:t xml:space="preserve"> (SWD(2014) 152 final) (9489/14, 5. mája 2014).</w:t>
      </w:r>
    </w:p>
  </w:footnote>
  <w:footnote w:id="8">
    <w:p w:rsidR="00FD60B4" w:rsidRPr="000F2399" w:rsidRDefault="00FD60B4">
      <w:pPr>
        <w:pStyle w:val="Textpoznmkypodiarou"/>
        <w:rPr>
          <w:rFonts w:asciiTheme="minorHAnsi" w:hAnsiTheme="minorHAnsi" w:cstheme="minorHAnsi"/>
          <w:sz w:val="20"/>
        </w:rPr>
      </w:pPr>
      <w:r w:rsidRPr="000F2399">
        <w:rPr>
          <w:rStyle w:val="Odkaznapoznmkupodiarou"/>
          <w:rFonts w:asciiTheme="minorHAnsi" w:hAnsiTheme="minorHAnsi" w:cstheme="minorHAnsi"/>
          <w:sz w:val="20"/>
        </w:rPr>
        <w:footnoteRef/>
      </w:r>
      <w:r w:rsidRPr="000F2399">
        <w:rPr>
          <w:rFonts w:asciiTheme="minorHAnsi" w:hAnsiTheme="minorHAnsi" w:cstheme="minorHAnsi"/>
          <w:sz w:val="20"/>
        </w:rPr>
        <w:tab/>
        <w:t>Dohovor OSN o právach dieťaťa, všeobecná poznámka č. 5, všeobecné vykonávacie opatrenia Dohovoru o právach dieťaťa (články 4, 42 a 44 ods. 6) CRC/GC/2003/5, 27. november 2003.</w:t>
      </w:r>
    </w:p>
  </w:footnote>
  <w:footnote w:id="9">
    <w:p w:rsidR="00FD60B4" w:rsidRPr="000F2399" w:rsidRDefault="00FD60B4" w:rsidP="00FD60B4">
      <w:pPr>
        <w:pStyle w:val="Textpoznmkypodiarou"/>
        <w:rPr>
          <w:rFonts w:asciiTheme="minorHAnsi" w:hAnsiTheme="minorHAnsi" w:cstheme="minorHAnsi"/>
          <w:sz w:val="20"/>
        </w:rPr>
      </w:pPr>
      <w:r w:rsidRPr="000F2399">
        <w:rPr>
          <w:rStyle w:val="Odkaznapoznmkupodiarou"/>
          <w:rFonts w:asciiTheme="minorHAnsi" w:hAnsiTheme="minorHAnsi" w:cstheme="minorHAnsi"/>
          <w:sz w:val="20"/>
        </w:rPr>
        <w:footnoteRef/>
      </w:r>
      <w:r w:rsidRPr="000F2399">
        <w:rPr>
          <w:rFonts w:asciiTheme="minorHAnsi" w:hAnsiTheme="minorHAnsi" w:cstheme="minorHAnsi"/>
          <w:sz w:val="20"/>
        </w:rPr>
        <w:tab/>
        <w:t>Ako sa uvádza vo všeobecnej poznámke č. 19, CRC/C/GC/19, 2016, odsek 3, „deti v zraniteľných situáciách“ sú tie, ktoré sú mimoriadne náchylné na porušovanie svojich práv, ako sú napríklad, ale nie výlučne, deti so zdravotným postihnutím, deti v situácii utečencov, deti z menšinových skupín, deti žijúce v chudobe, deti v náhradnej starostlivosti a deti, ktoré sa dostali do konfliktu so zákonom.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25809"/>
    <w:multiLevelType w:val="hybridMultilevel"/>
    <w:tmpl w:val="54F002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9A4ADB"/>
    <w:multiLevelType w:val="hybridMultilevel"/>
    <w:tmpl w:val="F778657C"/>
    <w:lvl w:ilvl="0" w:tplc="C62C2272">
      <w:start w:val="1"/>
      <w:numFmt w:val="decimal"/>
      <w:lvlText w:val="%1."/>
      <w:lvlJc w:val="left"/>
      <w:pPr>
        <w:ind w:left="720" w:hanging="360"/>
      </w:pPr>
      <w:rPr>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0F2DD4"/>
    <w:multiLevelType w:val="hybridMultilevel"/>
    <w:tmpl w:val="9692D8C8"/>
    <w:lvl w:ilvl="0" w:tplc="04090001">
      <w:start w:val="1"/>
      <w:numFmt w:val="bullet"/>
      <w:pStyle w:val="Zoznamsodrkami"/>
      <w:lvlText w:val=""/>
      <w:lvlJc w:val="left"/>
      <w:pPr>
        <w:tabs>
          <w:tab w:val="num" w:pos="170"/>
        </w:tabs>
        <w:ind w:left="0" w:firstLine="0"/>
      </w:pPr>
      <w:rPr>
        <w:rFonts w:ascii="Symbol" w:hAnsi="Symbol" w:hint="default"/>
      </w:rPr>
    </w:lvl>
    <w:lvl w:ilvl="1" w:tplc="08090001"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572686"/>
    <w:multiLevelType w:val="hybridMultilevel"/>
    <w:tmpl w:val="40264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320A2C"/>
    <w:multiLevelType w:val="hybridMultilevel"/>
    <w:tmpl w:val="C3FA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43136A"/>
    <w:multiLevelType w:val="hybridMultilevel"/>
    <w:tmpl w:val="403EF758"/>
    <w:lvl w:ilvl="0" w:tplc="2B2A7220">
      <w:numFmt w:val="bullet"/>
      <w:lvlText w:val=""/>
      <w:lvlJc w:val="left"/>
      <w:pPr>
        <w:ind w:left="360" w:hanging="360"/>
      </w:pPr>
      <w:rPr>
        <w:rFonts w:ascii="Wingdings" w:eastAsia="Calibri" w:hAnsi="Wingdings" w:cs="Times New Roman"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6">
    <w:nsid w:val="2F8C58D6"/>
    <w:multiLevelType w:val="hybridMultilevel"/>
    <w:tmpl w:val="90406670"/>
    <w:lvl w:ilvl="0" w:tplc="0809000F">
      <w:start w:val="1"/>
      <w:numFmt w:val="decimal"/>
      <w:lvlText w:val="%1."/>
      <w:lvlJc w:val="left"/>
      <w:pPr>
        <w:ind w:left="5180" w:hanging="360"/>
      </w:pPr>
    </w:lvl>
    <w:lvl w:ilvl="1" w:tplc="08090019" w:tentative="1">
      <w:start w:val="1"/>
      <w:numFmt w:val="lowerLetter"/>
      <w:lvlText w:val="%2."/>
      <w:lvlJc w:val="left"/>
      <w:pPr>
        <w:ind w:left="-403" w:hanging="360"/>
      </w:pPr>
    </w:lvl>
    <w:lvl w:ilvl="2" w:tplc="0809001B" w:tentative="1">
      <w:start w:val="1"/>
      <w:numFmt w:val="lowerRoman"/>
      <w:lvlText w:val="%3."/>
      <w:lvlJc w:val="right"/>
      <w:pPr>
        <w:ind w:left="317" w:hanging="180"/>
      </w:pPr>
    </w:lvl>
    <w:lvl w:ilvl="3" w:tplc="0809000F" w:tentative="1">
      <w:start w:val="1"/>
      <w:numFmt w:val="decimal"/>
      <w:lvlText w:val="%4."/>
      <w:lvlJc w:val="left"/>
      <w:pPr>
        <w:ind w:left="1037" w:hanging="360"/>
      </w:pPr>
    </w:lvl>
    <w:lvl w:ilvl="4" w:tplc="08090019" w:tentative="1">
      <w:start w:val="1"/>
      <w:numFmt w:val="lowerLetter"/>
      <w:lvlText w:val="%5."/>
      <w:lvlJc w:val="left"/>
      <w:pPr>
        <w:ind w:left="1757" w:hanging="360"/>
      </w:pPr>
    </w:lvl>
    <w:lvl w:ilvl="5" w:tplc="0809001B" w:tentative="1">
      <w:start w:val="1"/>
      <w:numFmt w:val="lowerRoman"/>
      <w:lvlText w:val="%6."/>
      <w:lvlJc w:val="right"/>
      <w:pPr>
        <w:ind w:left="2477" w:hanging="180"/>
      </w:pPr>
    </w:lvl>
    <w:lvl w:ilvl="6" w:tplc="0809000F" w:tentative="1">
      <w:start w:val="1"/>
      <w:numFmt w:val="decimal"/>
      <w:lvlText w:val="%7."/>
      <w:lvlJc w:val="left"/>
      <w:pPr>
        <w:ind w:left="3197" w:hanging="360"/>
      </w:pPr>
    </w:lvl>
    <w:lvl w:ilvl="7" w:tplc="08090019" w:tentative="1">
      <w:start w:val="1"/>
      <w:numFmt w:val="lowerLetter"/>
      <w:lvlText w:val="%8."/>
      <w:lvlJc w:val="left"/>
      <w:pPr>
        <w:ind w:left="3917" w:hanging="360"/>
      </w:pPr>
    </w:lvl>
    <w:lvl w:ilvl="8" w:tplc="0809001B" w:tentative="1">
      <w:start w:val="1"/>
      <w:numFmt w:val="lowerRoman"/>
      <w:lvlText w:val="%9."/>
      <w:lvlJc w:val="right"/>
      <w:pPr>
        <w:ind w:left="4637" w:hanging="180"/>
      </w:pPr>
    </w:lvl>
  </w:abstractNum>
  <w:abstractNum w:abstractNumId="7">
    <w:nsid w:val="308B79BC"/>
    <w:multiLevelType w:val="hybridMultilevel"/>
    <w:tmpl w:val="AD1698DA"/>
    <w:lvl w:ilvl="0" w:tplc="4CF01C6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492270"/>
    <w:multiLevelType w:val="hybridMultilevel"/>
    <w:tmpl w:val="397EF1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3A6C7744"/>
    <w:multiLevelType w:val="hybridMultilevel"/>
    <w:tmpl w:val="4FB8986A"/>
    <w:lvl w:ilvl="0" w:tplc="0813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9F3476"/>
    <w:multiLevelType w:val="hybridMultilevel"/>
    <w:tmpl w:val="AFA6F712"/>
    <w:lvl w:ilvl="0" w:tplc="73004F7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484D7531"/>
    <w:multiLevelType w:val="hybridMultilevel"/>
    <w:tmpl w:val="36781C5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0254EE2"/>
    <w:multiLevelType w:val="hybridMultilevel"/>
    <w:tmpl w:val="FBA6BA42"/>
    <w:lvl w:ilvl="0" w:tplc="0809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13">
    <w:nsid w:val="50395E31"/>
    <w:multiLevelType w:val="hybridMultilevel"/>
    <w:tmpl w:val="7FDC7D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5086779D"/>
    <w:multiLevelType w:val="hybridMultilevel"/>
    <w:tmpl w:val="28E8A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4C42ED5"/>
    <w:multiLevelType w:val="hybridMultilevel"/>
    <w:tmpl w:val="0010C712"/>
    <w:lvl w:ilvl="0" w:tplc="658C118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56624024"/>
    <w:multiLevelType w:val="hybridMultilevel"/>
    <w:tmpl w:val="79E6F4D4"/>
    <w:lvl w:ilvl="0" w:tplc="08130005">
      <w:start w:val="1"/>
      <w:numFmt w:val="bullet"/>
      <w:lvlText w:val=""/>
      <w:lvlJc w:val="left"/>
      <w:pPr>
        <w:ind w:left="1434" w:hanging="360"/>
      </w:pPr>
      <w:rPr>
        <w:rFonts w:ascii="Wingdings" w:hAnsi="Wingdings"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7">
    <w:nsid w:val="622902F4"/>
    <w:multiLevelType w:val="hybridMultilevel"/>
    <w:tmpl w:val="A3F80776"/>
    <w:lvl w:ilvl="0" w:tplc="B8508220">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50F4053"/>
    <w:multiLevelType w:val="hybridMultilevel"/>
    <w:tmpl w:val="FFE6D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1E1204F"/>
    <w:multiLevelType w:val="hybridMultilevel"/>
    <w:tmpl w:val="05F611FC"/>
    <w:lvl w:ilvl="0" w:tplc="08130009">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7EEE3C82"/>
    <w:multiLevelType w:val="hybridMultilevel"/>
    <w:tmpl w:val="D0F4C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9"/>
  </w:num>
  <w:num w:numId="4">
    <w:abstractNumId w:val="15"/>
  </w:num>
  <w:num w:numId="5">
    <w:abstractNumId w:val="10"/>
  </w:num>
  <w:num w:numId="6">
    <w:abstractNumId w:val="8"/>
  </w:num>
  <w:num w:numId="7">
    <w:abstractNumId w:val="20"/>
  </w:num>
  <w:num w:numId="8">
    <w:abstractNumId w:val="5"/>
  </w:num>
  <w:num w:numId="9">
    <w:abstractNumId w:val="5"/>
  </w:num>
  <w:num w:numId="10">
    <w:abstractNumId w:val="9"/>
  </w:num>
  <w:num w:numId="11">
    <w:abstractNumId w:val="6"/>
  </w:num>
  <w:num w:numId="12">
    <w:abstractNumId w:val="2"/>
  </w:num>
  <w:num w:numId="13">
    <w:abstractNumId w:val="4"/>
  </w:num>
  <w:num w:numId="14">
    <w:abstractNumId w:val="14"/>
  </w:num>
  <w:num w:numId="15">
    <w:abstractNumId w:val="0"/>
  </w:num>
  <w:num w:numId="16">
    <w:abstractNumId w:val="11"/>
  </w:num>
  <w:num w:numId="17">
    <w:abstractNumId w:val="16"/>
  </w:num>
  <w:num w:numId="18">
    <w:abstractNumId w:val="3"/>
  </w:num>
  <w:num w:numId="19">
    <w:abstractNumId w:val="1"/>
  </w:num>
  <w:num w:numId="20">
    <w:abstractNumId w:val="7"/>
  </w:num>
  <w:num w:numId="21">
    <w:abstractNumId w:val="17"/>
  </w:num>
  <w:num w:numId="22">
    <w:abstractNumId w:val="1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63"/>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W_DQC_HasErrors" w:val="true"/>
    <w:docVar w:name="DW_DQC_HasRepairableErrors" w:val="true"/>
    <w:docVar w:name="LW_DocType" w:val="NORMAL"/>
  </w:docVars>
  <w:rsids>
    <w:rsidRoot w:val="00CD3D66"/>
    <w:rsid w:val="00000240"/>
    <w:rsid w:val="00006780"/>
    <w:rsid w:val="00015624"/>
    <w:rsid w:val="00025394"/>
    <w:rsid w:val="00036F2D"/>
    <w:rsid w:val="0004723E"/>
    <w:rsid w:val="000527F2"/>
    <w:rsid w:val="00057085"/>
    <w:rsid w:val="0006799F"/>
    <w:rsid w:val="00074CE9"/>
    <w:rsid w:val="00082D23"/>
    <w:rsid w:val="000925D1"/>
    <w:rsid w:val="00095DB5"/>
    <w:rsid w:val="000A70DB"/>
    <w:rsid w:val="000B4CCC"/>
    <w:rsid w:val="000C3873"/>
    <w:rsid w:val="000E6CAB"/>
    <w:rsid w:val="000F2399"/>
    <w:rsid w:val="000F5128"/>
    <w:rsid w:val="001032B1"/>
    <w:rsid w:val="001128CD"/>
    <w:rsid w:val="00117BB5"/>
    <w:rsid w:val="00123A48"/>
    <w:rsid w:val="00125A1A"/>
    <w:rsid w:val="001716F5"/>
    <w:rsid w:val="00182806"/>
    <w:rsid w:val="001A2A51"/>
    <w:rsid w:val="001B5290"/>
    <w:rsid w:val="001B7AB9"/>
    <w:rsid w:val="00212333"/>
    <w:rsid w:val="002142CE"/>
    <w:rsid w:val="0023016E"/>
    <w:rsid w:val="00252D8E"/>
    <w:rsid w:val="002B0CF3"/>
    <w:rsid w:val="002E018B"/>
    <w:rsid w:val="002E6141"/>
    <w:rsid w:val="002F306B"/>
    <w:rsid w:val="003007CF"/>
    <w:rsid w:val="00314377"/>
    <w:rsid w:val="00321305"/>
    <w:rsid w:val="003248A5"/>
    <w:rsid w:val="003326B3"/>
    <w:rsid w:val="00345212"/>
    <w:rsid w:val="0034588D"/>
    <w:rsid w:val="00350575"/>
    <w:rsid w:val="00351C47"/>
    <w:rsid w:val="00354FC2"/>
    <w:rsid w:val="003575F8"/>
    <w:rsid w:val="00384032"/>
    <w:rsid w:val="003B6C62"/>
    <w:rsid w:val="003C0487"/>
    <w:rsid w:val="003C37E4"/>
    <w:rsid w:val="003C5C1B"/>
    <w:rsid w:val="0040604A"/>
    <w:rsid w:val="00414D09"/>
    <w:rsid w:val="00437A42"/>
    <w:rsid w:val="0044596A"/>
    <w:rsid w:val="00447F1F"/>
    <w:rsid w:val="00461E9F"/>
    <w:rsid w:val="00480E57"/>
    <w:rsid w:val="00485545"/>
    <w:rsid w:val="00495F02"/>
    <w:rsid w:val="004C5C20"/>
    <w:rsid w:val="004C630E"/>
    <w:rsid w:val="004D0CC3"/>
    <w:rsid w:val="004E6803"/>
    <w:rsid w:val="004F49F9"/>
    <w:rsid w:val="00523B8D"/>
    <w:rsid w:val="0052419A"/>
    <w:rsid w:val="0053524B"/>
    <w:rsid w:val="00546323"/>
    <w:rsid w:val="0056335B"/>
    <w:rsid w:val="00572876"/>
    <w:rsid w:val="00572F9C"/>
    <w:rsid w:val="00595785"/>
    <w:rsid w:val="005B3408"/>
    <w:rsid w:val="005C4B31"/>
    <w:rsid w:val="005F05C3"/>
    <w:rsid w:val="005F17EE"/>
    <w:rsid w:val="006032C7"/>
    <w:rsid w:val="00607091"/>
    <w:rsid w:val="00650A93"/>
    <w:rsid w:val="006607A4"/>
    <w:rsid w:val="00660BF1"/>
    <w:rsid w:val="0066688E"/>
    <w:rsid w:val="00677CA0"/>
    <w:rsid w:val="006A7F7C"/>
    <w:rsid w:val="006F1884"/>
    <w:rsid w:val="00731BC4"/>
    <w:rsid w:val="00737B70"/>
    <w:rsid w:val="00761879"/>
    <w:rsid w:val="00791CDC"/>
    <w:rsid w:val="00792118"/>
    <w:rsid w:val="00793AA7"/>
    <w:rsid w:val="00797586"/>
    <w:rsid w:val="007A3106"/>
    <w:rsid w:val="007A3571"/>
    <w:rsid w:val="007A7C5E"/>
    <w:rsid w:val="007B3D34"/>
    <w:rsid w:val="00825803"/>
    <w:rsid w:val="00832E22"/>
    <w:rsid w:val="00836C84"/>
    <w:rsid w:val="008429E1"/>
    <w:rsid w:val="00871F80"/>
    <w:rsid w:val="00885F93"/>
    <w:rsid w:val="0089747D"/>
    <w:rsid w:val="008A74C5"/>
    <w:rsid w:val="008D3341"/>
    <w:rsid w:val="008F584A"/>
    <w:rsid w:val="0090305A"/>
    <w:rsid w:val="00906DB5"/>
    <w:rsid w:val="0091204F"/>
    <w:rsid w:val="00915625"/>
    <w:rsid w:val="00945E56"/>
    <w:rsid w:val="00950BAA"/>
    <w:rsid w:val="00956AAD"/>
    <w:rsid w:val="009579A2"/>
    <w:rsid w:val="00964B07"/>
    <w:rsid w:val="009667E3"/>
    <w:rsid w:val="009715D8"/>
    <w:rsid w:val="00995BCF"/>
    <w:rsid w:val="009D04CC"/>
    <w:rsid w:val="009D67E1"/>
    <w:rsid w:val="009F0B65"/>
    <w:rsid w:val="009F122B"/>
    <w:rsid w:val="00A021B8"/>
    <w:rsid w:val="00A051E8"/>
    <w:rsid w:val="00A13E2B"/>
    <w:rsid w:val="00A203EF"/>
    <w:rsid w:val="00A20D7F"/>
    <w:rsid w:val="00A333E5"/>
    <w:rsid w:val="00A603F1"/>
    <w:rsid w:val="00A636F1"/>
    <w:rsid w:val="00A74BE2"/>
    <w:rsid w:val="00A849B9"/>
    <w:rsid w:val="00A94BE0"/>
    <w:rsid w:val="00AB3C4E"/>
    <w:rsid w:val="00AB6ECC"/>
    <w:rsid w:val="00AE41E9"/>
    <w:rsid w:val="00AE676B"/>
    <w:rsid w:val="00AF4724"/>
    <w:rsid w:val="00B068FD"/>
    <w:rsid w:val="00B1328F"/>
    <w:rsid w:val="00B16751"/>
    <w:rsid w:val="00B500F3"/>
    <w:rsid w:val="00B958C2"/>
    <w:rsid w:val="00BA5C0C"/>
    <w:rsid w:val="00BB518C"/>
    <w:rsid w:val="00BE61A3"/>
    <w:rsid w:val="00C02781"/>
    <w:rsid w:val="00C04D97"/>
    <w:rsid w:val="00C1076B"/>
    <w:rsid w:val="00C34043"/>
    <w:rsid w:val="00C528A1"/>
    <w:rsid w:val="00C52D58"/>
    <w:rsid w:val="00C8723D"/>
    <w:rsid w:val="00C91513"/>
    <w:rsid w:val="00C9530B"/>
    <w:rsid w:val="00CB2E85"/>
    <w:rsid w:val="00CC0162"/>
    <w:rsid w:val="00CC3ABA"/>
    <w:rsid w:val="00CD3D66"/>
    <w:rsid w:val="00CE25A4"/>
    <w:rsid w:val="00CE41A9"/>
    <w:rsid w:val="00D301C7"/>
    <w:rsid w:val="00D33221"/>
    <w:rsid w:val="00D55EAE"/>
    <w:rsid w:val="00D74B99"/>
    <w:rsid w:val="00D815BA"/>
    <w:rsid w:val="00DB243A"/>
    <w:rsid w:val="00DF22F3"/>
    <w:rsid w:val="00E11BEC"/>
    <w:rsid w:val="00E120CA"/>
    <w:rsid w:val="00E20C6F"/>
    <w:rsid w:val="00E23434"/>
    <w:rsid w:val="00E26E93"/>
    <w:rsid w:val="00E34DDB"/>
    <w:rsid w:val="00E47D57"/>
    <w:rsid w:val="00E76E26"/>
    <w:rsid w:val="00EB0A3E"/>
    <w:rsid w:val="00F15882"/>
    <w:rsid w:val="00F15BBC"/>
    <w:rsid w:val="00F1748D"/>
    <w:rsid w:val="00F34151"/>
    <w:rsid w:val="00F61175"/>
    <w:rsid w:val="00F774F1"/>
    <w:rsid w:val="00F804F9"/>
    <w:rsid w:val="00F91D45"/>
    <w:rsid w:val="00FA37EA"/>
    <w:rsid w:val="00FA72FB"/>
    <w:rsid w:val="00FA7E86"/>
    <w:rsid w:val="00FD553B"/>
    <w:rsid w:val="00FD60B4"/>
    <w:rsid w:val="00FE31AB"/>
    <w:rsid w:val="00FF677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200" w:line="276" w:lineRule="auto"/>
    </w:pPr>
    <w:rPr>
      <w:sz w:val="22"/>
      <w:szCs w:val="22"/>
      <w:lang w:eastAsia="en-US"/>
    </w:rPr>
  </w:style>
  <w:style w:type="paragraph" w:styleId="Nadpis1">
    <w:name w:val="heading 1"/>
    <w:basedOn w:val="Normlny"/>
    <w:next w:val="Normlny"/>
    <w:link w:val="Nadpis1Char"/>
    <w:uiPriority w:val="9"/>
    <w:qFormat/>
    <w:rsid w:val="00C34043"/>
    <w:pPr>
      <w:keepNext/>
      <w:spacing w:before="240" w:after="60"/>
      <w:outlineLvl w:val="0"/>
    </w:pPr>
    <w:rPr>
      <w:rFonts w:ascii="Cambria" w:eastAsia="Times New Roman" w:hAnsi="Cambria"/>
      <w:b/>
      <w:bCs/>
      <w:kern w:val="32"/>
      <w:sz w:val="32"/>
      <w:szCs w:val="32"/>
    </w:rPr>
  </w:style>
  <w:style w:type="paragraph" w:styleId="Nadpis2">
    <w:name w:val="heading 2"/>
    <w:basedOn w:val="Normlny"/>
    <w:next w:val="Normlny"/>
    <w:link w:val="Nadpis2Char"/>
    <w:uiPriority w:val="9"/>
    <w:semiHidden/>
    <w:unhideWhenUsed/>
    <w:qFormat/>
    <w:rsid w:val="002142CE"/>
    <w:pPr>
      <w:keepNext/>
      <w:spacing w:before="240" w:after="60"/>
      <w:outlineLvl w:val="1"/>
    </w:pPr>
    <w:rPr>
      <w:rFonts w:ascii="Cambria" w:eastAsia="Times New Roman" w:hAnsi="Cambria"/>
      <w:b/>
      <w:bCs/>
      <w:i/>
      <w:i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unhideWhenUsed/>
    <w:rsid w:val="00CD3D66"/>
    <w:rPr>
      <w:color w:val="0000FF"/>
      <w:u w:val="single"/>
    </w:rPr>
  </w:style>
  <w:style w:type="paragraph" w:styleId="Textkomentra">
    <w:name w:val="annotation text"/>
    <w:basedOn w:val="Normlny"/>
    <w:link w:val="TextkomentraChar"/>
    <w:uiPriority w:val="99"/>
    <w:unhideWhenUsed/>
    <w:rsid w:val="00CD3D66"/>
    <w:pPr>
      <w:overflowPunct w:val="0"/>
      <w:autoSpaceDE w:val="0"/>
      <w:autoSpaceDN w:val="0"/>
      <w:spacing w:after="0" w:line="240" w:lineRule="auto"/>
    </w:pPr>
    <w:rPr>
      <w:rFonts w:ascii="Times New Roman" w:hAnsi="Times New Roman"/>
      <w:sz w:val="20"/>
      <w:szCs w:val="20"/>
      <w:lang w:eastAsia="fr-BE"/>
    </w:rPr>
  </w:style>
  <w:style w:type="character" w:customStyle="1" w:styleId="TextkomentraChar">
    <w:name w:val="Text komentára Char"/>
    <w:link w:val="Textkomentra"/>
    <w:uiPriority w:val="99"/>
    <w:rsid w:val="00CD3D66"/>
    <w:rPr>
      <w:rFonts w:ascii="Times New Roman" w:hAnsi="Times New Roman"/>
      <w:lang w:eastAsia="fr-BE"/>
    </w:rPr>
  </w:style>
  <w:style w:type="paragraph" w:styleId="Odsekzoznamu">
    <w:name w:val="List Paragraph"/>
    <w:aliases w:val="Dot pt,F5 List Paragraph,List Paragraph1,No Spacing1,List Paragraph Char Char Char,Indicator Text,Numbered Para 1,MAIN CONTENT,Colorful List - Accent 11,Bullet 1,Bullet Points,Párrafo de lista,Recommendation,List Paragraph2,OBC Bullet,L"/>
    <w:basedOn w:val="Normlny"/>
    <w:link w:val="OdsekzoznamuChar"/>
    <w:uiPriority w:val="34"/>
    <w:qFormat/>
    <w:rsid w:val="00CD3D66"/>
    <w:pPr>
      <w:spacing w:after="0" w:line="240" w:lineRule="auto"/>
      <w:ind w:left="720"/>
    </w:pPr>
    <w:rPr>
      <w:rFonts w:ascii="Times New Roman" w:hAnsi="Times New Roman"/>
      <w:sz w:val="24"/>
      <w:szCs w:val="24"/>
      <w:lang w:eastAsia="en-GB"/>
    </w:rPr>
  </w:style>
  <w:style w:type="character" w:styleId="Siln">
    <w:name w:val="Strong"/>
    <w:uiPriority w:val="22"/>
    <w:qFormat/>
    <w:rsid w:val="00CD3D66"/>
    <w:rPr>
      <w:b/>
      <w:bCs/>
    </w:rPr>
  </w:style>
  <w:style w:type="paragraph" w:styleId="Normlnywebov">
    <w:name w:val="Normal (Web)"/>
    <w:basedOn w:val="Normlny"/>
    <w:uiPriority w:val="99"/>
    <w:unhideWhenUsed/>
    <w:rsid w:val="00F15BBC"/>
    <w:pPr>
      <w:spacing w:before="100" w:beforeAutospacing="1" w:after="100" w:afterAutospacing="1" w:line="240" w:lineRule="auto"/>
    </w:pPr>
    <w:rPr>
      <w:rFonts w:ascii="Times New Roman" w:eastAsia="Times New Roman" w:hAnsi="Times New Roman"/>
      <w:sz w:val="24"/>
      <w:szCs w:val="24"/>
      <w:lang w:eastAsia="en-GB"/>
    </w:rPr>
  </w:style>
  <w:style w:type="character" w:styleId="Odkaznapoznmkupodiarou">
    <w:name w:val="footnote reference"/>
    <w:aliases w:val="Zoznam s odrážkami Char,Char Char Carattere Char Carattere Char Car Char Char Car Car Char Char Char,Char Char Carattere Char Carattere Char Car Char Char Char"/>
    <w:link w:val="Zoznamsodrkami"/>
    <w:uiPriority w:val="99"/>
    <w:rsid w:val="005F05C3"/>
    <w:rPr>
      <w:rFonts w:ascii="Times New Roman" w:hAnsi="Times New Roman"/>
      <w:b/>
      <w:vertAlign w:val="superscript"/>
    </w:rPr>
  </w:style>
  <w:style w:type="paragraph" w:styleId="Textpoznmkypodiarou">
    <w:name w:val="footnote text"/>
    <w:aliases w:val="Footnote Text Char1,Footnote Text Char Char,stile 1,Footnote1,Footnote2,Footnote3,Footnote4,Footnote5,Footnote6,Footnote7,Footnote8,Footnote9,Footnote10,Footnote11,Footnote21,Footnote31,Footnote41,Footnote51,Footnote61,f"/>
    <w:basedOn w:val="Normlny"/>
    <w:link w:val="TextpoznmkypodiarouChar"/>
    <w:uiPriority w:val="99"/>
    <w:rsid w:val="005F05C3"/>
    <w:pPr>
      <w:widowControl w:val="0"/>
      <w:tabs>
        <w:tab w:val="left" w:pos="567"/>
      </w:tabs>
      <w:spacing w:after="0" w:line="240" w:lineRule="auto"/>
      <w:ind w:left="567" w:hanging="567"/>
      <w:jc w:val="both"/>
    </w:pPr>
    <w:rPr>
      <w:rFonts w:ascii="Times New Roman" w:eastAsia="Times New Roman" w:hAnsi="Times New Roman"/>
      <w:sz w:val="24"/>
      <w:szCs w:val="20"/>
      <w:lang w:eastAsia="fr-BE"/>
    </w:rPr>
  </w:style>
  <w:style w:type="character" w:customStyle="1" w:styleId="FootnoteTextChar">
    <w:name w:val="Footnote Text Char"/>
    <w:uiPriority w:val="99"/>
    <w:rsid w:val="005F05C3"/>
    <w:rPr>
      <w:lang w:eastAsia="en-US"/>
    </w:rPr>
  </w:style>
  <w:style w:type="character" w:customStyle="1" w:styleId="TextpoznmkypodiarouChar">
    <w:name w:val="Text poznámky pod čiarou Char"/>
    <w:aliases w:val="Footnote Text Char1 Char,Footnote Text Char Char Char,stile 1 Char,Footnote1 Char,Footnote2 Char,Footnote3 Char,Footnote4 Char,Footnote5 Char,Footnote6 Char,Footnote7 Char,Footnote8 Char,Footnote9 Char,Footnote10 Char"/>
    <w:link w:val="Textpoznmkypodiarou"/>
    <w:uiPriority w:val="99"/>
    <w:rsid w:val="005F05C3"/>
    <w:rPr>
      <w:rFonts w:ascii="Times New Roman" w:eastAsia="Times New Roman" w:hAnsi="Times New Roman"/>
      <w:sz w:val="24"/>
      <w:lang w:eastAsia="fr-BE"/>
    </w:rPr>
  </w:style>
  <w:style w:type="paragraph" w:styleId="Zoznamsodrkami">
    <w:name w:val="List Bullet"/>
    <w:aliases w:val="Char Char Carattere Char Carattere Char Car Char Char Car Car Char Char,Char Char Carattere Char Carattere Char Car Char Char,Char Char Carattere Char Carattere Char Car Char Char Car Car Char Char Car"/>
    <w:basedOn w:val="Normlny"/>
    <w:link w:val="Odkaznapoznmkupodiarou"/>
    <w:uiPriority w:val="99"/>
    <w:rsid w:val="005F05C3"/>
    <w:pPr>
      <w:numPr>
        <w:numId w:val="12"/>
      </w:numPr>
      <w:spacing w:after="0" w:line="240" w:lineRule="auto"/>
      <w:jc w:val="both"/>
    </w:pPr>
    <w:rPr>
      <w:rFonts w:ascii="Times New Roman" w:hAnsi="Times New Roman"/>
      <w:b/>
      <w:sz w:val="20"/>
      <w:szCs w:val="20"/>
      <w:vertAlign w:val="superscript"/>
      <w:lang w:eastAsia="en-GB"/>
    </w:rPr>
  </w:style>
  <w:style w:type="paragraph" w:customStyle="1" w:styleId="Default">
    <w:name w:val="Default"/>
    <w:rsid w:val="005F05C3"/>
    <w:pPr>
      <w:autoSpaceDE w:val="0"/>
      <w:autoSpaceDN w:val="0"/>
      <w:adjustRightInd w:val="0"/>
    </w:pPr>
    <w:rPr>
      <w:rFonts w:ascii="Arial" w:hAnsi="Arial" w:cs="Arial"/>
      <w:color w:val="000000"/>
      <w:sz w:val="24"/>
      <w:szCs w:val="24"/>
    </w:rPr>
  </w:style>
  <w:style w:type="paragraph" w:customStyle="1" w:styleId="mcntmsonormal">
    <w:name w:val="mcntmsonormal"/>
    <w:basedOn w:val="Normlny"/>
    <w:rsid w:val="00945E56"/>
    <w:pPr>
      <w:spacing w:before="100" w:beforeAutospacing="1" w:after="100" w:afterAutospacing="1" w:line="240" w:lineRule="auto"/>
    </w:pPr>
    <w:rPr>
      <w:rFonts w:ascii="Times New Roman" w:eastAsia="Times New Roman" w:hAnsi="Times New Roman"/>
      <w:sz w:val="24"/>
      <w:szCs w:val="24"/>
      <w:lang w:eastAsia="nl-NL"/>
    </w:rPr>
  </w:style>
  <w:style w:type="paragraph" w:styleId="Nzov">
    <w:name w:val="Title"/>
    <w:basedOn w:val="Normlny"/>
    <w:next w:val="Normlny"/>
    <w:link w:val="NzovChar"/>
    <w:autoRedefine/>
    <w:uiPriority w:val="10"/>
    <w:qFormat/>
    <w:rsid w:val="009F122B"/>
    <w:pPr>
      <w:spacing w:before="240" w:after="60"/>
      <w:jc w:val="center"/>
      <w:outlineLvl w:val="0"/>
    </w:pPr>
    <w:rPr>
      <w:rFonts w:ascii="Times New Roman" w:eastAsia="Times New Roman" w:hAnsi="Times New Roman"/>
      <w:b/>
      <w:bCs/>
      <w:kern w:val="28"/>
      <w:sz w:val="28"/>
      <w:szCs w:val="28"/>
      <w:u w:val="single"/>
    </w:rPr>
  </w:style>
  <w:style w:type="character" w:customStyle="1" w:styleId="NzovChar">
    <w:name w:val="Názov Char"/>
    <w:link w:val="Nzov"/>
    <w:uiPriority w:val="10"/>
    <w:rsid w:val="009F122B"/>
    <w:rPr>
      <w:rFonts w:ascii="Times New Roman" w:eastAsia="Times New Roman" w:hAnsi="Times New Roman"/>
      <w:b/>
      <w:bCs/>
      <w:kern w:val="28"/>
      <w:sz w:val="28"/>
      <w:szCs w:val="28"/>
      <w:u w:val="single"/>
      <w:lang w:eastAsia="en-US"/>
    </w:rPr>
  </w:style>
  <w:style w:type="character" w:customStyle="1" w:styleId="Nadpis1Char">
    <w:name w:val="Nadpis 1 Char"/>
    <w:link w:val="Nadpis1"/>
    <w:uiPriority w:val="9"/>
    <w:rsid w:val="00C34043"/>
    <w:rPr>
      <w:rFonts w:ascii="Cambria" w:eastAsia="Times New Roman" w:hAnsi="Cambria" w:cs="Times New Roman"/>
      <w:b/>
      <w:bCs/>
      <w:kern w:val="32"/>
      <w:sz w:val="32"/>
      <w:szCs w:val="32"/>
      <w:lang w:eastAsia="en-US"/>
    </w:rPr>
  </w:style>
  <w:style w:type="paragraph" w:styleId="Hlavikaobsahu">
    <w:name w:val="TOC Heading"/>
    <w:basedOn w:val="Nadpis1"/>
    <w:next w:val="Normlny"/>
    <w:uiPriority w:val="39"/>
    <w:semiHidden/>
    <w:unhideWhenUsed/>
    <w:qFormat/>
    <w:rsid w:val="00C34043"/>
    <w:pPr>
      <w:keepLines/>
      <w:spacing w:before="480" w:after="0"/>
      <w:outlineLvl w:val="9"/>
    </w:pPr>
    <w:rPr>
      <w:color w:val="365F91"/>
      <w:kern w:val="0"/>
      <w:sz w:val="28"/>
      <w:szCs w:val="28"/>
      <w:lang w:eastAsia="ja-JP"/>
    </w:rPr>
  </w:style>
  <w:style w:type="paragraph" w:styleId="Obsah1">
    <w:name w:val="toc 1"/>
    <w:basedOn w:val="Normlny"/>
    <w:next w:val="Normlny"/>
    <w:autoRedefine/>
    <w:uiPriority w:val="39"/>
    <w:unhideWhenUsed/>
    <w:rsid w:val="000B4CCC"/>
    <w:pPr>
      <w:tabs>
        <w:tab w:val="right" w:leader="dot" w:pos="9062"/>
      </w:tabs>
    </w:pPr>
  </w:style>
  <w:style w:type="character" w:styleId="PouitHypertextovPrepojenie">
    <w:name w:val="FollowedHyperlink"/>
    <w:uiPriority w:val="99"/>
    <w:semiHidden/>
    <w:unhideWhenUsed/>
    <w:rsid w:val="002E6141"/>
    <w:rPr>
      <w:color w:val="800080"/>
      <w:u w:val="single"/>
    </w:rPr>
  </w:style>
  <w:style w:type="paragraph" w:styleId="Textbubliny">
    <w:name w:val="Balloon Text"/>
    <w:basedOn w:val="Normlny"/>
    <w:link w:val="TextbublinyChar"/>
    <w:uiPriority w:val="99"/>
    <w:semiHidden/>
    <w:unhideWhenUsed/>
    <w:rsid w:val="00485545"/>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485545"/>
    <w:rPr>
      <w:rFonts w:ascii="Tahoma" w:hAnsi="Tahoma" w:cs="Tahoma"/>
      <w:sz w:val="16"/>
      <w:szCs w:val="16"/>
      <w:lang w:eastAsia="en-US"/>
    </w:rPr>
  </w:style>
  <w:style w:type="character" w:customStyle="1" w:styleId="OdsekzoznamuChar">
    <w:name w:val="Odsek zoznamu Char"/>
    <w:aliases w:val="Dot pt Char,F5 List Paragraph Char,List Paragraph1 Char,No Spacing1 Char,List Paragraph Char Char Char Char,Indicator Text Char,Numbered Para 1 Char,MAIN CONTENT Char,Colorful List - Accent 11 Char,Bullet 1 Char,Bullet Points Char"/>
    <w:link w:val="Odsekzoznamu"/>
    <w:uiPriority w:val="34"/>
    <w:locked/>
    <w:rsid w:val="00792118"/>
    <w:rPr>
      <w:rFonts w:ascii="Times New Roman" w:hAnsi="Times New Roman"/>
      <w:sz w:val="24"/>
      <w:szCs w:val="24"/>
    </w:rPr>
  </w:style>
  <w:style w:type="paragraph" w:styleId="Hlavika">
    <w:name w:val="header"/>
    <w:basedOn w:val="Normlny"/>
    <w:link w:val="HlavikaChar"/>
    <w:uiPriority w:val="99"/>
    <w:unhideWhenUsed/>
    <w:rsid w:val="00546323"/>
    <w:pPr>
      <w:tabs>
        <w:tab w:val="center" w:pos="4536"/>
        <w:tab w:val="right" w:pos="9072"/>
      </w:tabs>
    </w:pPr>
  </w:style>
  <w:style w:type="character" w:customStyle="1" w:styleId="HlavikaChar">
    <w:name w:val="Hlavička Char"/>
    <w:link w:val="Hlavika"/>
    <w:uiPriority w:val="99"/>
    <w:rsid w:val="00546323"/>
    <w:rPr>
      <w:sz w:val="22"/>
      <w:szCs w:val="22"/>
      <w:lang w:eastAsia="en-US"/>
    </w:rPr>
  </w:style>
  <w:style w:type="paragraph" w:styleId="Pta">
    <w:name w:val="footer"/>
    <w:basedOn w:val="Normlny"/>
    <w:link w:val="PtaChar"/>
    <w:uiPriority w:val="99"/>
    <w:unhideWhenUsed/>
    <w:rsid w:val="00546323"/>
    <w:pPr>
      <w:tabs>
        <w:tab w:val="center" w:pos="4536"/>
        <w:tab w:val="right" w:pos="9072"/>
      </w:tabs>
    </w:pPr>
  </w:style>
  <w:style w:type="character" w:customStyle="1" w:styleId="PtaChar">
    <w:name w:val="Päta Char"/>
    <w:link w:val="Pta"/>
    <w:uiPriority w:val="99"/>
    <w:rsid w:val="00546323"/>
    <w:rPr>
      <w:sz w:val="22"/>
      <w:szCs w:val="22"/>
      <w:lang w:eastAsia="en-US"/>
    </w:rPr>
  </w:style>
  <w:style w:type="character" w:styleId="Odkaznakomentr">
    <w:name w:val="annotation reference"/>
    <w:uiPriority w:val="99"/>
    <w:semiHidden/>
    <w:unhideWhenUsed/>
    <w:rsid w:val="00117BB5"/>
    <w:rPr>
      <w:sz w:val="16"/>
      <w:szCs w:val="16"/>
    </w:rPr>
  </w:style>
  <w:style w:type="character" w:customStyle="1" w:styleId="Nadpis2Char">
    <w:name w:val="Nadpis 2 Char"/>
    <w:link w:val="Nadpis2"/>
    <w:uiPriority w:val="9"/>
    <w:rsid w:val="002142CE"/>
    <w:rPr>
      <w:rFonts w:ascii="Cambria" w:eastAsia="Times New Roman" w:hAnsi="Cambria" w:cs="Times New Roman"/>
      <w:b/>
      <w:bCs/>
      <w:i/>
      <w:iCs/>
      <w:sz w:val="28"/>
      <w:szCs w:val="28"/>
      <w:lang w:eastAsia="en-US"/>
    </w:rPr>
  </w:style>
  <w:style w:type="paragraph" w:styleId="Predmetkomentra">
    <w:name w:val="annotation subject"/>
    <w:basedOn w:val="Textkomentra"/>
    <w:next w:val="Textkomentra"/>
    <w:link w:val="PredmetkomentraChar"/>
    <w:uiPriority w:val="99"/>
    <w:semiHidden/>
    <w:unhideWhenUsed/>
    <w:rsid w:val="004D0CC3"/>
    <w:pPr>
      <w:overflowPunct/>
      <w:autoSpaceDE/>
      <w:autoSpaceDN/>
      <w:spacing w:after="200" w:line="276" w:lineRule="auto"/>
    </w:pPr>
    <w:rPr>
      <w:rFonts w:ascii="Calibri" w:hAnsi="Calibri"/>
      <w:b/>
      <w:bCs/>
      <w:lang w:eastAsia="en-US"/>
    </w:rPr>
  </w:style>
  <w:style w:type="character" w:customStyle="1" w:styleId="PredmetkomentraChar">
    <w:name w:val="Predmet komentára Char"/>
    <w:basedOn w:val="TextkomentraChar"/>
    <w:link w:val="Predmetkomentra"/>
    <w:uiPriority w:val="99"/>
    <w:semiHidden/>
    <w:rsid w:val="004D0CC3"/>
    <w:rPr>
      <w:rFonts w:ascii="Times New Roman" w:hAnsi="Times New Roman"/>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200" w:line="276" w:lineRule="auto"/>
    </w:pPr>
    <w:rPr>
      <w:sz w:val="22"/>
      <w:szCs w:val="22"/>
      <w:lang w:eastAsia="en-US"/>
    </w:rPr>
  </w:style>
  <w:style w:type="paragraph" w:styleId="Nadpis1">
    <w:name w:val="heading 1"/>
    <w:basedOn w:val="Normlny"/>
    <w:next w:val="Normlny"/>
    <w:link w:val="Nadpis1Char"/>
    <w:uiPriority w:val="9"/>
    <w:qFormat/>
    <w:rsid w:val="00C34043"/>
    <w:pPr>
      <w:keepNext/>
      <w:spacing w:before="240" w:after="60"/>
      <w:outlineLvl w:val="0"/>
    </w:pPr>
    <w:rPr>
      <w:rFonts w:ascii="Cambria" w:eastAsia="Times New Roman" w:hAnsi="Cambria"/>
      <w:b/>
      <w:bCs/>
      <w:kern w:val="32"/>
      <w:sz w:val="32"/>
      <w:szCs w:val="32"/>
    </w:rPr>
  </w:style>
  <w:style w:type="paragraph" w:styleId="Nadpis2">
    <w:name w:val="heading 2"/>
    <w:basedOn w:val="Normlny"/>
    <w:next w:val="Normlny"/>
    <w:link w:val="Nadpis2Char"/>
    <w:uiPriority w:val="9"/>
    <w:semiHidden/>
    <w:unhideWhenUsed/>
    <w:qFormat/>
    <w:rsid w:val="002142CE"/>
    <w:pPr>
      <w:keepNext/>
      <w:spacing w:before="240" w:after="60"/>
      <w:outlineLvl w:val="1"/>
    </w:pPr>
    <w:rPr>
      <w:rFonts w:ascii="Cambria" w:eastAsia="Times New Roman" w:hAnsi="Cambria"/>
      <w:b/>
      <w:bCs/>
      <w:i/>
      <w:i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unhideWhenUsed/>
    <w:rsid w:val="00CD3D66"/>
    <w:rPr>
      <w:color w:val="0000FF"/>
      <w:u w:val="single"/>
    </w:rPr>
  </w:style>
  <w:style w:type="paragraph" w:styleId="Textkomentra">
    <w:name w:val="annotation text"/>
    <w:basedOn w:val="Normlny"/>
    <w:link w:val="TextkomentraChar"/>
    <w:uiPriority w:val="99"/>
    <w:unhideWhenUsed/>
    <w:rsid w:val="00CD3D66"/>
    <w:pPr>
      <w:overflowPunct w:val="0"/>
      <w:autoSpaceDE w:val="0"/>
      <w:autoSpaceDN w:val="0"/>
      <w:spacing w:after="0" w:line="240" w:lineRule="auto"/>
    </w:pPr>
    <w:rPr>
      <w:rFonts w:ascii="Times New Roman" w:hAnsi="Times New Roman"/>
      <w:sz w:val="20"/>
      <w:szCs w:val="20"/>
      <w:lang w:eastAsia="fr-BE"/>
    </w:rPr>
  </w:style>
  <w:style w:type="character" w:customStyle="1" w:styleId="TextkomentraChar">
    <w:name w:val="Text komentára Char"/>
    <w:link w:val="Textkomentra"/>
    <w:uiPriority w:val="99"/>
    <w:rsid w:val="00CD3D66"/>
    <w:rPr>
      <w:rFonts w:ascii="Times New Roman" w:hAnsi="Times New Roman"/>
      <w:lang w:eastAsia="fr-BE"/>
    </w:rPr>
  </w:style>
  <w:style w:type="paragraph" w:styleId="Odsekzoznamu">
    <w:name w:val="List Paragraph"/>
    <w:aliases w:val="Dot pt,F5 List Paragraph,List Paragraph1,No Spacing1,List Paragraph Char Char Char,Indicator Text,Numbered Para 1,MAIN CONTENT,Colorful List - Accent 11,Bullet 1,Bullet Points,Párrafo de lista,Recommendation,List Paragraph2,OBC Bullet,L"/>
    <w:basedOn w:val="Normlny"/>
    <w:link w:val="OdsekzoznamuChar"/>
    <w:uiPriority w:val="34"/>
    <w:qFormat/>
    <w:rsid w:val="00CD3D66"/>
    <w:pPr>
      <w:spacing w:after="0" w:line="240" w:lineRule="auto"/>
      <w:ind w:left="720"/>
    </w:pPr>
    <w:rPr>
      <w:rFonts w:ascii="Times New Roman" w:hAnsi="Times New Roman"/>
      <w:sz w:val="24"/>
      <w:szCs w:val="24"/>
      <w:lang w:eastAsia="en-GB"/>
    </w:rPr>
  </w:style>
  <w:style w:type="character" w:styleId="Siln">
    <w:name w:val="Strong"/>
    <w:uiPriority w:val="22"/>
    <w:qFormat/>
    <w:rsid w:val="00CD3D66"/>
    <w:rPr>
      <w:b/>
      <w:bCs/>
    </w:rPr>
  </w:style>
  <w:style w:type="paragraph" w:styleId="Normlnywebov">
    <w:name w:val="Normal (Web)"/>
    <w:basedOn w:val="Normlny"/>
    <w:uiPriority w:val="99"/>
    <w:unhideWhenUsed/>
    <w:rsid w:val="00F15BBC"/>
    <w:pPr>
      <w:spacing w:before="100" w:beforeAutospacing="1" w:after="100" w:afterAutospacing="1" w:line="240" w:lineRule="auto"/>
    </w:pPr>
    <w:rPr>
      <w:rFonts w:ascii="Times New Roman" w:eastAsia="Times New Roman" w:hAnsi="Times New Roman"/>
      <w:sz w:val="24"/>
      <w:szCs w:val="24"/>
      <w:lang w:eastAsia="en-GB"/>
    </w:rPr>
  </w:style>
  <w:style w:type="character" w:styleId="Odkaznapoznmkupodiarou">
    <w:name w:val="footnote reference"/>
    <w:aliases w:val="Zoznam s odrážkami Char,Char Char Carattere Char Carattere Char Car Char Char Car Car Char Char Char,Char Char Carattere Char Carattere Char Car Char Char Char"/>
    <w:link w:val="Zoznamsodrkami"/>
    <w:uiPriority w:val="99"/>
    <w:rsid w:val="005F05C3"/>
    <w:rPr>
      <w:rFonts w:ascii="Times New Roman" w:hAnsi="Times New Roman"/>
      <w:b/>
      <w:vertAlign w:val="superscript"/>
    </w:rPr>
  </w:style>
  <w:style w:type="paragraph" w:styleId="Textpoznmkypodiarou">
    <w:name w:val="footnote text"/>
    <w:aliases w:val="Footnote Text Char1,Footnote Text Char Char,stile 1,Footnote1,Footnote2,Footnote3,Footnote4,Footnote5,Footnote6,Footnote7,Footnote8,Footnote9,Footnote10,Footnote11,Footnote21,Footnote31,Footnote41,Footnote51,Footnote61,f"/>
    <w:basedOn w:val="Normlny"/>
    <w:link w:val="TextpoznmkypodiarouChar"/>
    <w:uiPriority w:val="99"/>
    <w:rsid w:val="005F05C3"/>
    <w:pPr>
      <w:widowControl w:val="0"/>
      <w:tabs>
        <w:tab w:val="left" w:pos="567"/>
      </w:tabs>
      <w:spacing w:after="0" w:line="240" w:lineRule="auto"/>
      <w:ind w:left="567" w:hanging="567"/>
      <w:jc w:val="both"/>
    </w:pPr>
    <w:rPr>
      <w:rFonts w:ascii="Times New Roman" w:eastAsia="Times New Roman" w:hAnsi="Times New Roman"/>
      <w:sz w:val="24"/>
      <w:szCs w:val="20"/>
      <w:lang w:eastAsia="fr-BE"/>
    </w:rPr>
  </w:style>
  <w:style w:type="character" w:customStyle="1" w:styleId="FootnoteTextChar">
    <w:name w:val="Footnote Text Char"/>
    <w:uiPriority w:val="99"/>
    <w:rsid w:val="005F05C3"/>
    <w:rPr>
      <w:lang w:eastAsia="en-US"/>
    </w:rPr>
  </w:style>
  <w:style w:type="character" w:customStyle="1" w:styleId="TextpoznmkypodiarouChar">
    <w:name w:val="Text poznámky pod čiarou Char"/>
    <w:aliases w:val="Footnote Text Char1 Char,Footnote Text Char Char Char,stile 1 Char,Footnote1 Char,Footnote2 Char,Footnote3 Char,Footnote4 Char,Footnote5 Char,Footnote6 Char,Footnote7 Char,Footnote8 Char,Footnote9 Char,Footnote10 Char"/>
    <w:link w:val="Textpoznmkypodiarou"/>
    <w:uiPriority w:val="99"/>
    <w:rsid w:val="005F05C3"/>
    <w:rPr>
      <w:rFonts w:ascii="Times New Roman" w:eastAsia="Times New Roman" w:hAnsi="Times New Roman"/>
      <w:sz w:val="24"/>
      <w:lang w:eastAsia="fr-BE"/>
    </w:rPr>
  </w:style>
  <w:style w:type="paragraph" w:styleId="Zoznamsodrkami">
    <w:name w:val="List Bullet"/>
    <w:aliases w:val="Char Char Carattere Char Carattere Char Car Char Char Car Car Char Char,Char Char Carattere Char Carattere Char Car Char Char,Char Char Carattere Char Carattere Char Car Char Char Car Car Char Char Car"/>
    <w:basedOn w:val="Normlny"/>
    <w:link w:val="Odkaznapoznmkupodiarou"/>
    <w:uiPriority w:val="99"/>
    <w:rsid w:val="005F05C3"/>
    <w:pPr>
      <w:numPr>
        <w:numId w:val="12"/>
      </w:numPr>
      <w:spacing w:after="0" w:line="240" w:lineRule="auto"/>
      <w:jc w:val="both"/>
    </w:pPr>
    <w:rPr>
      <w:rFonts w:ascii="Times New Roman" w:hAnsi="Times New Roman"/>
      <w:b/>
      <w:sz w:val="20"/>
      <w:szCs w:val="20"/>
      <w:vertAlign w:val="superscript"/>
      <w:lang w:eastAsia="en-GB"/>
    </w:rPr>
  </w:style>
  <w:style w:type="paragraph" w:customStyle="1" w:styleId="Default">
    <w:name w:val="Default"/>
    <w:rsid w:val="005F05C3"/>
    <w:pPr>
      <w:autoSpaceDE w:val="0"/>
      <w:autoSpaceDN w:val="0"/>
      <w:adjustRightInd w:val="0"/>
    </w:pPr>
    <w:rPr>
      <w:rFonts w:ascii="Arial" w:hAnsi="Arial" w:cs="Arial"/>
      <w:color w:val="000000"/>
      <w:sz w:val="24"/>
      <w:szCs w:val="24"/>
    </w:rPr>
  </w:style>
  <w:style w:type="paragraph" w:customStyle="1" w:styleId="mcntmsonormal">
    <w:name w:val="mcntmsonormal"/>
    <w:basedOn w:val="Normlny"/>
    <w:rsid w:val="00945E56"/>
    <w:pPr>
      <w:spacing w:before="100" w:beforeAutospacing="1" w:after="100" w:afterAutospacing="1" w:line="240" w:lineRule="auto"/>
    </w:pPr>
    <w:rPr>
      <w:rFonts w:ascii="Times New Roman" w:eastAsia="Times New Roman" w:hAnsi="Times New Roman"/>
      <w:sz w:val="24"/>
      <w:szCs w:val="24"/>
      <w:lang w:eastAsia="nl-NL"/>
    </w:rPr>
  </w:style>
  <w:style w:type="paragraph" w:styleId="Nzov">
    <w:name w:val="Title"/>
    <w:basedOn w:val="Normlny"/>
    <w:next w:val="Normlny"/>
    <w:link w:val="NzovChar"/>
    <w:autoRedefine/>
    <w:uiPriority w:val="10"/>
    <w:qFormat/>
    <w:rsid w:val="009F122B"/>
    <w:pPr>
      <w:spacing w:before="240" w:after="60"/>
      <w:jc w:val="center"/>
      <w:outlineLvl w:val="0"/>
    </w:pPr>
    <w:rPr>
      <w:rFonts w:ascii="Times New Roman" w:eastAsia="Times New Roman" w:hAnsi="Times New Roman"/>
      <w:b/>
      <w:bCs/>
      <w:kern w:val="28"/>
      <w:sz w:val="28"/>
      <w:szCs w:val="28"/>
      <w:u w:val="single"/>
    </w:rPr>
  </w:style>
  <w:style w:type="character" w:customStyle="1" w:styleId="NzovChar">
    <w:name w:val="Názov Char"/>
    <w:link w:val="Nzov"/>
    <w:uiPriority w:val="10"/>
    <w:rsid w:val="009F122B"/>
    <w:rPr>
      <w:rFonts w:ascii="Times New Roman" w:eastAsia="Times New Roman" w:hAnsi="Times New Roman"/>
      <w:b/>
      <w:bCs/>
      <w:kern w:val="28"/>
      <w:sz w:val="28"/>
      <w:szCs w:val="28"/>
      <w:u w:val="single"/>
      <w:lang w:eastAsia="en-US"/>
    </w:rPr>
  </w:style>
  <w:style w:type="character" w:customStyle="1" w:styleId="Nadpis1Char">
    <w:name w:val="Nadpis 1 Char"/>
    <w:link w:val="Nadpis1"/>
    <w:uiPriority w:val="9"/>
    <w:rsid w:val="00C34043"/>
    <w:rPr>
      <w:rFonts w:ascii="Cambria" w:eastAsia="Times New Roman" w:hAnsi="Cambria" w:cs="Times New Roman"/>
      <w:b/>
      <w:bCs/>
      <w:kern w:val="32"/>
      <w:sz w:val="32"/>
      <w:szCs w:val="32"/>
      <w:lang w:eastAsia="en-US"/>
    </w:rPr>
  </w:style>
  <w:style w:type="paragraph" w:styleId="Hlavikaobsahu">
    <w:name w:val="TOC Heading"/>
    <w:basedOn w:val="Nadpis1"/>
    <w:next w:val="Normlny"/>
    <w:uiPriority w:val="39"/>
    <w:semiHidden/>
    <w:unhideWhenUsed/>
    <w:qFormat/>
    <w:rsid w:val="00C34043"/>
    <w:pPr>
      <w:keepLines/>
      <w:spacing w:before="480" w:after="0"/>
      <w:outlineLvl w:val="9"/>
    </w:pPr>
    <w:rPr>
      <w:color w:val="365F91"/>
      <w:kern w:val="0"/>
      <w:sz w:val="28"/>
      <w:szCs w:val="28"/>
      <w:lang w:eastAsia="ja-JP"/>
    </w:rPr>
  </w:style>
  <w:style w:type="paragraph" w:styleId="Obsah1">
    <w:name w:val="toc 1"/>
    <w:basedOn w:val="Normlny"/>
    <w:next w:val="Normlny"/>
    <w:autoRedefine/>
    <w:uiPriority w:val="39"/>
    <w:unhideWhenUsed/>
    <w:rsid w:val="000B4CCC"/>
    <w:pPr>
      <w:tabs>
        <w:tab w:val="right" w:leader="dot" w:pos="9062"/>
      </w:tabs>
    </w:pPr>
  </w:style>
  <w:style w:type="character" w:styleId="PouitHypertextovPrepojenie">
    <w:name w:val="FollowedHyperlink"/>
    <w:uiPriority w:val="99"/>
    <w:semiHidden/>
    <w:unhideWhenUsed/>
    <w:rsid w:val="002E6141"/>
    <w:rPr>
      <w:color w:val="800080"/>
      <w:u w:val="single"/>
    </w:rPr>
  </w:style>
  <w:style w:type="paragraph" w:styleId="Textbubliny">
    <w:name w:val="Balloon Text"/>
    <w:basedOn w:val="Normlny"/>
    <w:link w:val="TextbublinyChar"/>
    <w:uiPriority w:val="99"/>
    <w:semiHidden/>
    <w:unhideWhenUsed/>
    <w:rsid w:val="00485545"/>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485545"/>
    <w:rPr>
      <w:rFonts w:ascii="Tahoma" w:hAnsi="Tahoma" w:cs="Tahoma"/>
      <w:sz w:val="16"/>
      <w:szCs w:val="16"/>
      <w:lang w:eastAsia="en-US"/>
    </w:rPr>
  </w:style>
  <w:style w:type="character" w:customStyle="1" w:styleId="OdsekzoznamuChar">
    <w:name w:val="Odsek zoznamu Char"/>
    <w:aliases w:val="Dot pt Char,F5 List Paragraph Char,List Paragraph1 Char,No Spacing1 Char,List Paragraph Char Char Char Char,Indicator Text Char,Numbered Para 1 Char,MAIN CONTENT Char,Colorful List - Accent 11 Char,Bullet 1 Char,Bullet Points Char"/>
    <w:link w:val="Odsekzoznamu"/>
    <w:uiPriority w:val="34"/>
    <w:locked/>
    <w:rsid w:val="00792118"/>
    <w:rPr>
      <w:rFonts w:ascii="Times New Roman" w:hAnsi="Times New Roman"/>
      <w:sz w:val="24"/>
      <w:szCs w:val="24"/>
    </w:rPr>
  </w:style>
  <w:style w:type="paragraph" w:styleId="Hlavika">
    <w:name w:val="header"/>
    <w:basedOn w:val="Normlny"/>
    <w:link w:val="HlavikaChar"/>
    <w:uiPriority w:val="99"/>
    <w:unhideWhenUsed/>
    <w:rsid w:val="00546323"/>
    <w:pPr>
      <w:tabs>
        <w:tab w:val="center" w:pos="4536"/>
        <w:tab w:val="right" w:pos="9072"/>
      </w:tabs>
    </w:pPr>
  </w:style>
  <w:style w:type="character" w:customStyle="1" w:styleId="HlavikaChar">
    <w:name w:val="Hlavička Char"/>
    <w:link w:val="Hlavika"/>
    <w:uiPriority w:val="99"/>
    <w:rsid w:val="00546323"/>
    <w:rPr>
      <w:sz w:val="22"/>
      <w:szCs w:val="22"/>
      <w:lang w:eastAsia="en-US"/>
    </w:rPr>
  </w:style>
  <w:style w:type="paragraph" w:styleId="Pta">
    <w:name w:val="footer"/>
    <w:basedOn w:val="Normlny"/>
    <w:link w:val="PtaChar"/>
    <w:uiPriority w:val="99"/>
    <w:unhideWhenUsed/>
    <w:rsid w:val="00546323"/>
    <w:pPr>
      <w:tabs>
        <w:tab w:val="center" w:pos="4536"/>
        <w:tab w:val="right" w:pos="9072"/>
      </w:tabs>
    </w:pPr>
  </w:style>
  <w:style w:type="character" w:customStyle="1" w:styleId="PtaChar">
    <w:name w:val="Päta Char"/>
    <w:link w:val="Pta"/>
    <w:uiPriority w:val="99"/>
    <w:rsid w:val="00546323"/>
    <w:rPr>
      <w:sz w:val="22"/>
      <w:szCs w:val="22"/>
      <w:lang w:eastAsia="en-US"/>
    </w:rPr>
  </w:style>
  <w:style w:type="character" w:styleId="Odkaznakomentr">
    <w:name w:val="annotation reference"/>
    <w:uiPriority w:val="99"/>
    <w:semiHidden/>
    <w:unhideWhenUsed/>
    <w:rsid w:val="00117BB5"/>
    <w:rPr>
      <w:sz w:val="16"/>
      <w:szCs w:val="16"/>
    </w:rPr>
  </w:style>
  <w:style w:type="character" w:customStyle="1" w:styleId="Nadpis2Char">
    <w:name w:val="Nadpis 2 Char"/>
    <w:link w:val="Nadpis2"/>
    <w:uiPriority w:val="9"/>
    <w:rsid w:val="002142CE"/>
    <w:rPr>
      <w:rFonts w:ascii="Cambria" w:eastAsia="Times New Roman" w:hAnsi="Cambria" w:cs="Times New Roman"/>
      <w:b/>
      <w:bCs/>
      <w:i/>
      <w:iCs/>
      <w:sz w:val="28"/>
      <w:szCs w:val="28"/>
      <w:lang w:eastAsia="en-US"/>
    </w:rPr>
  </w:style>
  <w:style w:type="paragraph" w:styleId="Predmetkomentra">
    <w:name w:val="annotation subject"/>
    <w:basedOn w:val="Textkomentra"/>
    <w:next w:val="Textkomentra"/>
    <w:link w:val="PredmetkomentraChar"/>
    <w:uiPriority w:val="99"/>
    <w:semiHidden/>
    <w:unhideWhenUsed/>
    <w:rsid w:val="004D0CC3"/>
    <w:pPr>
      <w:overflowPunct/>
      <w:autoSpaceDE/>
      <w:autoSpaceDN/>
      <w:spacing w:after="200" w:line="276" w:lineRule="auto"/>
    </w:pPr>
    <w:rPr>
      <w:rFonts w:ascii="Calibri" w:hAnsi="Calibri"/>
      <w:b/>
      <w:bCs/>
      <w:lang w:eastAsia="en-US"/>
    </w:rPr>
  </w:style>
  <w:style w:type="character" w:customStyle="1" w:styleId="PredmetkomentraChar">
    <w:name w:val="Predmet komentára Char"/>
    <w:basedOn w:val="TextkomentraChar"/>
    <w:link w:val="Predmetkomentra"/>
    <w:uiPriority w:val="99"/>
    <w:semiHidden/>
    <w:rsid w:val="004D0CC3"/>
    <w:rPr>
      <w:rFonts w:ascii="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641051">
      <w:bodyDiv w:val="1"/>
      <w:marLeft w:val="0"/>
      <w:marRight w:val="0"/>
      <w:marTop w:val="0"/>
      <w:marBottom w:val="0"/>
      <w:divBdr>
        <w:top w:val="none" w:sz="0" w:space="0" w:color="auto"/>
        <w:left w:val="none" w:sz="0" w:space="0" w:color="auto"/>
        <w:bottom w:val="none" w:sz="0" w:space="0" w:color="auto"/>
        <w:right w:val="none" w:sz="0" w:space="0" w:color="auto"/>
      </w:divBdr>
    </w:div>
    <w:div w:id="694574637">
      <w:bodyDiv w:val="1"/>
      <w:marLeft w:val="0"/>
      <w:marRight w:val="0"/>
      <w:marTop w:val="0"/>
      <w:marBottom w:val="0"/>
      <w:divBdr>
        <w:top w:val="none" w:sz="0" w:space="0" w:color="auto"/>
        <w:left w:val="none" w:sz="0" w:space="0" w:color="auto"/>
        <w:bottom w:val="none" w:sz="0" w:space="0" w:color="auto"/>
        <w:right w:val="none" w:sz="0" w:space="0" w:color="auto"/>
      </w:divBdr>
    </w:div>
    <w:div w:id="1118528798">
      <w:bodyDiv w:val="1"/>
      <w:marLeft w:val="0"/>
      <w:marRight w:val="0"/>
      <w:marTop w:val="0"/>
      <w:marBottom w:val="0"/>
      <w:divBdr>
        <w:top w:val="none" w:sz="0" w:space="0" w:color="auto"/>
        <w:left w:val="none" w:sz="0" w:space="0" w:color="auto"/>
        <w:bottom w:val="none" w:sz="0" w:space="0" w:color="auto"/>
        <w:right w:val="none" w:sz="0" w:space="0" w:color="auto"/>
      </w:divBdr>
    </w:div>
    <w:div w:id="1261254118">
      <w:bodyDiv w:val="1"/>
      <w:marLeft w:val="0"/>
      <w:marRight w:val="0"/>
      <w:marTop w:val="0"/>
      <w:marBottom w:val="0"/>
      <w:divBdr>
        <w:top w:val="none" w:sz="0" w:space="0" w:color="auto"/>
        <w:left w:val="none" w:sz="0" w:space="0" w:color="auto"/>
        <w:bottom w:val="none" w:sz="0" w:space="0" w:color="auto"/>
        <w:right w:val="none" w:sz="0" w:space="0" w:color="auto"/>
      </w:divBdr>
    </w:div>
    <w:div w:id="1384983986">
      <w:bodyDiv w:val="1"/>
      <w:marLeft w:val="0"/>
      <w:marRight w:val="0"/>
      <w:marTop w:val="0"/>
      <w:marBottom w:val="0"/>
      <w:divBdr>
        <w:top w:val="none" w:sz="0" w:space="0" w:color="auto"/>
        <w:left w:val="none" w:sz="0" w:space="0" w:color="auto"/>
        <w:bottom w:val="none" w:sz="0" w:space="0" w:color="auto"/>
        <w:right w:val="none" w:sz="0" w:space="0" w:color="auto"/>
      </w:divBdr>
    </w:div>
    <w:div w:id="1666669516">
      <w:bodyDiv w:val="1"/>
      <w:marLeft w:val="0"/>
      <w:marRight w:val="0"/>
      <w:marTop w:val="0"/>
      <w:marBottom w:val="0"/>
      <w:divBdr>
        <w:top w:val="none" w:sz="0" w:space="0" w:color="auto"/>
        <w:left w:val="none" w:sz="0" w:space="0" w:color="auto"/>
        <w:bottom w:val="none" w:sz="0" w:space="0" w:color="auto"/>
        <w:right w:val="none" w:sz="0" w:space="0" w:color="auto"/>
      </w:divBdr>
    </w:div>
    <w:div w:id="1966882409">
      <w:bodyDiv w:val="1"/>
      <w:marLeft w:val="0"/>
      <w:marRight w:val="0"/>
      <w:marTop w:val="0"/>
      <w:marBottom w:val="0"/>
      <w:divBdr>
        <w:top w:val="none" w:sz="0" w:space="0" w:color="auto"/>
        <w:left w:val="none" w:sz="0" w:space="0" w:color="auto"/>
        <w:bottom w:val="none" w:sz="0" w:space="0" w:color="auto"/>
        <w:right w:val="none" w:sz="0" w:space="0" w:color="auto"/>
      </w:divBdr>
    </w:div>
    <w:div w:id="199629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eas.europa.eu/headquarters/headquarters-homepage/8441/human-rights-guidelines_e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uropa.eu/globalstrategy/en/global-strategy-foreign-and-security-policy-european-un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E6CED-6524-4B8D-8958-CDD5117F2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1805</Words>
  <Characters>10293</Characters>
  <Application>Microsoft Office Word</Application>
  <DocSecurity>4</DocSecurity>
  <Lines>85</Lines>
  <Paragraphs>24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EEAS</Company>
  <LinksUpToDate>false</LinksUpToDate>
  <CharactersWithSpaces>12074</CharactersWithSpaces>
  <SharedDoc>false</SharedDoc>
  <HLinks>
    <vt:vector size="12" baseType="variant">
      <vt:variant>
        <vt:i4>65575</vt:i4>
      </vt:variant>
      <vt:variant>
        <vt:i4>0</vt:i4>
      </vt:variant>
      <vt:variant>
        <vt:i4>0</vt:i4>
      </vt:variant>
      <vt:variant>
        <vt:i4>5</vt:i4>
      </vt:variant>
      <vt:variant>
        <vt:lpwstr>https://eeas.europa.eu/headquarters/headquarters-homepage/8441/human-rights-guidelines_en</vt:lpwstr>
      </vt:variant>
      <vt:variant>
        <vt:lpwstr/>
      </vt:variant>
      <vt:variant>
        <vt:i4>7209075</vt:i4>
      </vt:variant>
      <vt:variant>
        <vt:i4>0</vt:i4>
      </vt:variant>
      <vt:variant>
        <vt:i4>0</vt:i4>
      </vt:variant>
      <vt:variant>
        <vt:i4>5</vt:i4>
      </vt:variant>
      <vt:variant>
        <vt:lpwstr>https://europa.eu/globalstrategy/en/global-strategy-foreign-and-security-policy-european-union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GONNORD Helen (EEAS)</dc:creator>
  <cp:lastModifiedBy>Marek Brenčič</cp:lastModifiedBy>
  <cp:revision>2</cp:revision>
  <cp:lastPrinted>2017-01-10T15:01:00Z</cp:lastPrinted>
  <dcterms:created xsi:type="dcterms:W3CDTF">2017-03-21T14:19:00Z</dcterms:created>
  <dcterms:modified xsi:type="dcterms:W3CDTF">2017-03-21T14:19:00Z</dcterms:modified>
</cp:coreProperties>
</file>